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72E" w:rsidRDefault="00E1772E" w:rsidP="00E1772E">
      <w:pPr>
        <w:rPr>
          <w:rFonts w:ascii="Times New Roman" w:hAnsi="Times New Roman"/>
          <w:noProof/>
        </w:rPr>
      </w:pPr>
      <w:bookmarkStart w:id="0" w:name="_GoBack"/>
      <w:bookmarkEnd w:id="0"/>
      <w:r>
        <w:rPr>
          <w:noProof/>
        </w:rPr>
        <w:drawing>
          <wp:anchor distT="0" distB="0" distL="114300" distR="114300" simplePos="0" relativeHeight="251659264" behindDoc="1" locked="0" layoutInCell="1" allowOverlap="1" wp14:anchorId="5AF551BE" wp14:editId="104DD67E">
            <wp:simplePos x="0" y="0"/>
            <wp:positionH relativeFrom="column">
              <wp:posOffset>-190500</wp:posOffset>
            </wp:positionH>
            <wp:positionV relativeFrom="paragraph">
              <wp:posOffset>-466725</wp:posOffset>
            </wp:positionV>
            <wp:extent cx="6529070" cy="809625"/>
            <wp:effectExtent l="0" t="0" r="5080" b="9525"/>
            <wp:wrapNone/>
            <wp:docPr id="1" name="Picture 1" descr="Chancellors Office color logo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cellors Office color logo mast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9070" cy="809625"/>
                    </a:xfrm>
                    <a:prstGeom prst="rect">
                      <a:avLst/>
                    </a:prstGeom>
                    <a:noFill/>
                  </pic:spPr>
                </pic:pic>
              </a:graphicData>
            </a:graphic>
            <wp14:sizeRelH relativeFrom="page">
              <wp14:pctWidth>0</wp14:pctWidth>
            </wp14:sizeRelH>
            <wp14:sizeRelV relativeFrom="page">
              <wp14:pctHeight>0</wp14:pctHeight>
            </wp14:sizeRelV>
          </wp:anchor>
        </w:drawing>
      </w:r>
    </w:p>
    <w:p w:rsidR="00E1772E" w:rsidRDefault="00E1772E" w:rsidP="00E1772E">
      <w:pPr>
        <w:rPr>
          <w:rFonts w:ascii="Times New Roman" w:hAnsi="Times New Roman"/>
          <w:b/>
        </w:rPr>
      </w:pPr>
    </w:p>
    <w:p w:rsidR="00E1772E" w:rsidRDefault="00E1772E" w:rsidP="00E1772E">
      <w:pPr>
        <w:rPr>
          <w:rFonts w:cs="Arial"/>
          <w:sz w:val="16"/>
          <w:szCs w:val="16"/>
        </w:rPr>
      </w:pPr>
    </w:p>
    <w:p w:rsidR="00E1772E" w:rsidRPr="00E53C40" w:rsidRDefault="00E1772E" w:rsidP="00E1772E">
      <w:pPr>
        <w:rPr>
          <w:rFonts w:ascii="Source Sans Pro" w:hAnsi="Source Sans Pro" w:cstheme="minorHAnsi"/>
          <w:noProof/>
        </w:rPr>
      </w:pPr>
      <w:r w:rsidRPr="00E53C40">
        <w:rPr>
          <w:rFonts w:ascii="Source Sans Pro" w:hAnsi="Source Sans Pro" w:cstheme="minorHAnsi"/>
          <w:b/>
        </w:rPr>
        <w:t xml:space="preserve">PRESS </w:t>
      </w:r>
      <w:r>
        <w:rPr>
          <w:rFonts w:ascii="Source Sans Pro" w:hAnsi="Source Sans Pro" w:cstheme="minorHAnsi"/>
          <w:b/>
        </w:rPr>
        <w:t>RELEASE</w:t>
      </w:r>
      <w:r>
        <w:rPr>
          <w:rFonts w:ascii="Source Sans Pro" w:hAnsi="Source Sans Pro" w:cstheme="minorHAnsi"/>
          <w:b/>
        </w:rPr>
        <w:tab/>
      </w:r>
      <w:r>
        <w:rPr>
          <w:rFonts w:ascii="Source Sans Pro" w:hAnsi="Source Sans Pro" w:cstheme="minorHAnsi"/>
          <w:b/>
        </w:rPr>
        <w:tab/>
      </w:r>
      <w:r>
        <w:rPr>
          <w:rFonts w:ascii="Source Sans Pro" w:hAnsi="Source Sans Pro" w:cstheme="minorHAnsi"/>
          <w:b/>
        </w:rPr>
        <w:tab/>
      </w:r>
      <w:r>
        <w:rPr>
          <w:rFonts w:ascii="Source Sans Pro" w:hAnsi="Source Sans Pro" w:cstheme="minorHAnsi"/>
          <w:b/>
        </w:rPr>
        <w:tab/>
      </w:r>
      <w:r>
        <w:rPr>
          <w:rFonts w:ascii="Source Sans Pro" w:hAnsi="Source Sans Pro" w:cstheme="minorHAnsi"/>
          <w:b/>
        </w:rPr>
        <w:tab/>
      </w:r>
      <w:r>
        <w:rPr>
          <w:rFonts w:ascii="Source Sans Pro" w:hAnsi="Source Sans Pro" w:cstheme="minorHAnsi"/>
          <w:b/>
        </w:rPr>
        <w:tab/>
      </w:r>
      <w:r>
        <w:rPr>
          <w:rFonts w:ascii="Source Sans Pro" w:hAnsi="Source Sans Pro" w:cstheme="minorHAnsi"/>
          <w:b/>
        </w:rPr>
        <w:tab/>
      </w:r>
      <w:r>
        <w:rPr>
          <w:rFonts w:ascii="Source Sans Pro" w:hAnsi="Source Sans Pro" w:cstheme="minorHAnsi"/>
          <w:b/>
        </w:rPr>
        <w:tab/>
        <w:t xml:space="preserve">           July 25</w:t>
      </w:r>
      <w:r w:rsidRPr="00E53C40">
        <w:rPr>
          <w:rFonts w:ascii="Source Sans Pro" w:hAnsi="Source Sans Pro" w:cstheme="minorHAnsi"/>
          <w:b/>
        </w:rPr>
        <w:t>, 2018</w:t>
      </w:r>
    </w:p>
    <w:p w:rsidR="00E1772E" w:rsidRDefault="00E1772E" w:rsidP="00E1772E">
      <w:pPr>
        <w:rPr>
          <w:rFonts w:ascii="Source Sans Pro" w:hAnsi="Source Sans Pro" w:cstheme="minorHAnsi"/>
        </w:rPr>
      </w:pPr>
    </w:p>
    <w:p w:rsidR="00E1772E" w:rsidRPr="00E53C40" w:rsidRDefault="00E1772E" w:rsidP="00E1772E">
      <w:pPr>
        <w:rPr>
          <w:rFonts w:ascii="Source Sans Pro" w:hAnsi="Source Sans Pro" w:cstheme="minorHAnsi"/>
        </w:rPr>
      </w:pPr>
      <w:r>
        <w:rPr>
          <w:rFonts w:ascii="Source Sans Pro" w:hAnsi="Source Sans Pro" w:cstheme="minorHAnsi"/>
        </w:rPr>
        <w:t>Christina Jimenez</w:t>
      </w:r>
    </w:p>
    <w:p w:rsidR="00E1772E" w:rsidRPr="00E53C40" w:rsidRDefault="00E1772E" w:rsidP="00E1772E">
      <w:pPr>
        <w:rPr>
          <w:rFonts w:ascii="Source Sans Pro" w:hAnsi="Source Sans Pro" w:cstheme="minorHAnsi"/>
          <w:color w:val="000000"/>
        </w:rPr>
      </w:pPr>
      <w:r>
        <w:rPr>
          <w:rFonts w:ascii="Source Sans Pro" w:hAnsi="Source Sans Pro" w:cstheme="minorHAnsi"/>
          <w:color w:val="000000"/>
        </w:rPr>
        <w:t>Office: 916-322-4004</w:t>
      </w:r>
    </w:p>
    <w:p w:rsidR="00E1772E" w:rsidRPr="00E53C40" w:rsidRDefault="00E1772E" w:rsidP="00E1772E">
      <w:pPr>
        <w:rPr>
          <w:rFonts w:ascii="Source Sans Pro" w:hAnsi="Source Sans Pro" w:cstheme="minorHAnsi"/>
          <w:color w:val="2B4EA2"/>
          <w:u w:val="single"/>
        </w:rPr>
      </w:pPr>
      <w:r w:rsidRPr="00E53C40">
        <w:rPr>
          <w:rFonts w:ascii="Source Sans Pro" w:hAnsi="Source Sans Pro" w:cstheme="minorHAnsi"/>
          <w:color w:val="000000"/>
        </w:rPr>
        <w:t xml:space="preserve">Office E-mail: </w:t>
      </w:r>
      <w:hyperlink r:id="rId6" w:history="1">
        <w:r w:rsidRPr="00F47B27">
          <w:rPr>
            <w:rStyle w:val="Hyperlink"/>
            <w:rFonts w:ascii="Source Sans Pro" w:hAnsi="Source Sans Pro" w:cstheme="minorHAnsi"/>
          </w:rPr>
          <w:t>cjimenez@cccco.edu</w:t>
        </w:r>
      </w:hyperlink>
      <w:r>
        <w:rPr>
          <w:rFonts w:ascii="Source Sans Pro" w:hAnsi="Source Sans Pro" w:cstheme="minorHAnsi"/>
        </w:rPr>
        <w:t xml:space="preserve"> </w:t>
      </w:r>
    </w:p>
    <w:p w:rsidR="00E1772E" w:rsidRDefault="00E1772E" w:rsidP="00821A48">
      <w:pPr>
        <w:jc w:val="center"/>
        <w:rPr>
          <w:rFonts w:ascii="Source Sans Pro" w:hAnsi="Source Sans Pro"/>
          <w:b/>
        </w:rPr>
      </w:pPr>
    </w:p>
    <w:p w:rsidR="00355A2D" w:rsidRPr="00C77259" w:rsidRDefault="00821A48" w:rsidP="00821A48">
      <w:pPr>
        <w:jc w:val="center"/>
        <w:rPr>
          <w:rFonts w:ascii="Source Sans Pro" w:hAnsi="Source Sans Pro"/>
          <w:b/>
        </w:rPr>
      </w:pPr>
      <w:r w:rsidRPr="00C77259">
        <w:rPr>
          <w:rFonts w:ascii="Source Sans Pro" w:hAnsi="Source Sans Pro"/>
          <w:b/>
        </w:rPr>
        <w:t>New California Community Colleges Agreement with Private Colleges and Universities Marks Major Expansion of Associate Degree for Transfer Program</w:t>
      </w:r>
    </w:p>
    <w:p w:rsidR="00562FF0" w:rsidRPr="00C77259" w:rsidRDefault="00562FF0" w:rsidP="00821A48">
      <w:pPr>
        <w:jc w:val="center"/>
        <w:rPr>
          <w:rFonts w:ascii="Source Sans Pro" w:hAnsi="Source Sans Pro"/>
          <w:b/>
        </w:rPr>
      </w:pPr>
    </w:p>
    <w:p w:rsidR="00562FF0" w:rsidRDefault="00722A64">
      <w:pPr>
        <w:rPr>
          <w:rFonts w:ascii="Source Sans Pro" w:hAnsi="Source Sans Pro"/>
        </w:rPr>
      </w:pPr>
      <w:r w:rsidRPr="00722A64">
        <w:rPr>
          <w:rFonts w:ascii="Source Sans Pro" w:hAnsi="Source Sans Pro"/>
          <w:i/>
        </w:rPr>
        <w:t>Sacramento, CA</w:t>
      </w:r>
      <w:r>
        <w:rPr>
          <w:rFonts w:ascii="Source Sans Pro" w:hAnsi="Source Sans Pro"/>
        </w:rPr>
        <w:t xml:space="preserve"> -- </w:t>
      </w:r>
      <w:r w:rsidR="000D48E7">
        <w:rPr>
          <w:rFonts w:ascii="Source Sans Pro" w:hAnsi="Source Sans Pro"/>
        </w:rPr>
        <w:t>U</w:t>
      </w:r>
      <w:r w:rsidR="000D48E7" w:rsidRPr="00C77259">
        <w:rPr>
          <w:rFonts w:ascii="Source Sans Pro" w:hAnsi="Source Sans Pro"/>
        </w:rPr>
        <w:t xml:space="preserve">nder a </w:t>
      </w:r>
      <w:hyperlink r:id="rId7" w:history="1">
        <w:r w:rsidR="000D48E7" w:rsidRPr="00C77259">
          <w:rPr>
            <w:rStyle w:val="Hyperlink"/>
            <w:rFonts w:ascii="Source Sans Pro" w:hAnsi="Source Sans Pro"/>
          </w:rPr>
          <w:t>new agreement</w:t>
        </w:r>
      </w:hyperlink>
      <w:r w:rsidR="000D48E7" w:rsidRPr="00C77259">
        <w:rPr>
          <w:rFonts w:ascii="Source Sans Pro" w:hAnsi="Source Sans Pro"/>
        </w:rPr>
        <w:t xml:space="preserve"> signed today by the California Community Colleges Chancellor’s Office and the </w:t>
      </w:r>
      <w:hyperlink r:id="rId8" w:history="1">
        <w:r w:rsidR="000D48E7" w:rsidRPr="00C77259">
          <w:rPr>
            <w:rStyle w:val="Hyperlink"/>
            <w:rFonts w:ascii="Source Sans Pro" w:hAnsi="Source Sans Pro"/>
          </w:rPr>
          <w:t>Association of Independent California Colleges and Universities</w:t>
        </w:r>
      </w:hyperlink>
      <w:r w:rsidR="000D48E7" w:rsidRPr="00C77259">
        <w:rPr>
          <w:rFonts w:ascii="Source Sans Pro" w:hAnsi="Source Sans Pro"/>
        </w:rPr>
        <w:t xml:space="preserve"> (AICCU)</w:t>
      </w:r>
      <w:r w:rsidR="000D48E7">
        <w:rPr>
          <w:rFonts w:ascii="Source Sans Pro" w:hAnsi="Source Sans Pro"/>
        </w:rPr>
        <w:t xml:space="preserve">, </w:t>
      </w:r>
      <w:r w:rsidR="00E40FE9" w:rsidRPr="00C77259">
        <w:rPr>
          <w:rFonts w:ascii="Source Sans Pro" w:hAnsi="Source Sans Pro"/>
        </w:rPr>
        <w:t>California community college</w:t>
      </w:r>
      <w:r w:rsidR="00562FF0" w:rsidRPr="00C77259">
        <w:rPr>
          <w:rFonts w:ascii="Source Sans Pro" w:hAnsi="Source Sans Pro"/>
        </w:rPr>
        <w:t xml:space="preserve"> students</w:t>
      </w:r>
      <w:r w:rsidR="00F56E95" w:rsidRPr="00C77259">
        <w:rPr>
          <w:rFonts w:ascii="Source Sans Pro" w:hAnsi="Source Sans Pro"/>
        </w:rPr>
        <w:t xml:space="preserve"> </w:t>
      </w:r>
      <w:r w:rsidR="00957E86">
        <w:rPr>
          <w:rFonts w:ascii="Source Sans Pro" w:hAnsi="Source Sans Pro"/>
        </w:rPr>
        <w:t>pursuing</w:t>
      </w:r>
      <w:r w:rsidR="00F56E95" w:rsidRPr="00C77259">
        <w:rPr>
          <w:rFonts w:ascii="Source Sans Pro" w:hAnsi="Source Sans Pro"/>
        </w:rPr>
        <w:t xml:space="preserve"> an Associate Degree for Transfer </w:t>
      </w:r>
      <w:r w:rsidR="000D48E7">
        <w:rPr>
          <w:rFonts w:ascii="Source Sans Pro" w:hAnsi="Source Sans Pro"/>
        </w:rPr>
        <w:t>can receive</w:t>
      </w:r>
      <w:r w:rsidR="00957E86">
        <w:rPr>
          <w:rFonts w:ascii="Source Sans Pro" w:hAnsi="Source Sans Pro"/>
        </w:rPr>
        <w:t xml:space="preserve"> guaranteed </w:t>
      </w:r>
      <w:r w:rsidR="000D48E7">
        <w:rPr>
          <w:rFonts w:ascii="Source Sans Pro" w:hAnsi="Source Sans Pro"/>
        </w:rPr>
        <w:t>acceptance</w:t>
      </w:r>
      <w:r w:rsidR="003A5944" w:rsidRPr="00C77259">
        <w:rPr>
          <w:rFonts w:ascii="Source Sans Pro" w:hAnsi="Source Sans Pro"/>
        </w:rPr>
        <w:t xml:space="preserve"> </w:t>
      </w:r>
      <w:r w:rsidR="00D1683E" w:rsidRPr="00C77259">
        <w:rPr>
          <w:rFonts w:ascii="Source Sans Pro" w:hAnsi="Source Sans Pro"/>
        </w:rPr>
        <w:t xml:space="preserve">and </w:t>
      </w:r>
      <w:r w:rsidR="000D48E7">
        <w:rPr>
          <w:rFonts w:ascii="Source Sans Pro" w:hAnsi="Source Sans Pro"/>
        </w:rPr>
        <w:t xml:space="preserve">a more affordable, </w:t>
      </w:r>
      <w:r w:rsidR="00D1683E" w:rsidRPr="00C77259">
        <w:rPr>
          <w:rFonts w:ascii="Source Sans Pro" w:hAnsi="Source Sans Pro"/>
        </w:rPr>
        <w:t xml:space="preserve">seamless pathway </w:t>
      </w:r>
      <w:r w:rsidR="00E40FE9" w:rsidRPr="00C77259">
        <w:rPr>
          <w:rFonts w:ascii="Source Sans Pro" w:hAnsi="Source Sans Pro"/>
        </w:rPr>
        <w:t xml:space="preserve">to </w:t>
      </w:r>
      <w:r w:rsidR="000D48E7">
        <w:rPr>
          <w:rFonts w:ascii="Source Sans Pro" w:hAnsi="Source Sans Pro"/>
        </w:rPr>
        <w:t>36</w:t>
      </w:r>
      <w:r w:rsidR="00562FF0" w:rsidRPr="00C77259">
        <w:rPr>
          <w:rFonts w:ascii="Source Sans Pro" w:hAnsi="Source Sans Pro"/>
        </w:rPr>
        <w:t xml:space="preserve"> </w:t>
      </w:r>
      <w:r w:rsidR="00D1683E" w:rsidRPr="00C77259">
        <w:rPr>
          <w:rFonts w:ascii="Source Sans Pro" w:hAnsi="Source Sans Pro"/>
        </w:rPr>
        <w:t>private</w:t>
      </w:r>
      <w:r w:rsidR="000D48E7">
        <w:rPr>
          <w:rFonts w:ascii="Source Sans Pro" w:hAnsi="Source Sans Pro"/>
        </w:rPr>
        <w:t>, non-profit</w:t>
      </w:r>
      <w:r w:rsidR="00D1683E" w:rsidRPr="00C77259">
        <w:rPr>
          <w:rFonts w:ascii="Source Sans Pro" w:hAnsi="Source Sans Pro"/>
        </w:rPr>
        <w:t xml:space="preserve"> </w:t>
      </w:r>
      <w:r w:rsidR="00E40FE9" w:rsidRPr="00C77259">
        <w:rPr>
          <w:rFonts w:ascii="Source Sans Pro" w:hAnsi="Source Sans Pro"/>
        </w:rPr>
        <w:t xml:space="preserve">four-year </w:t>
      </w:r>
      <w:r w:rsidR="00562FF0" w:rsidRPr="00C77259">
        <w:rPr>
          <w:rFonts w:ascii="Source Sans Pro" w:hAnsi="Source Sans Pro"/>
        </w:rPr>
        <w:t>colleges and universities</w:t>
      </w:r>
      <w:r w:rsidR="000D48E7">
        <w:rPr>
          <w:rFonts w:ascii="Source Sans Pro" w:hAnsi="Source Sans Pro"/>
        </w:rPr>
        <w:t>.</w:t>
      </w:r>
      <w:r w:rsidR="00E40FE9" w:rsidRPr="00C77259">
        <w:rPr>
          <w:rFonts w:ascii="Source Sans Pro" w:hAnsi="Source Sans Pro"/>
        </w:rPr>
        <w:t xml:space="preserve"> </w:t>
      </w:r>
    </w:p>
    <w:p w:rsidR="00E033DE" w:rsidRDefault="00E033DE">
      <w:pPr>
        <w:rPr>
          <w:rFonts w:ascii="Source Sans Pro" w:hAnsi="Source Sans Pro"/>
        </w:rPr>
      </w:pPr>
    </w:p>
    <w:p w:rsidR="00AD154E" w:rsidRPr="00C77259" w:rsidRDefault="00AD154E" w:rsidP="00AD154E">
      <w:pPr>
        <w:rPr>
          <w:rFonts w:ascii="Source Sans Pro" w:hAnsi="Source Sans Pro"/>
        </w:rPr>
      </w:pPr>
      <w:r w:rsidRPr="00C77259">
        <w:rPr>
          <w:rFonts w:ascii="Source Sans Pro" w:hAnsi="Source Sans Pro"/>
        </w:rPr>
        <w:t xml:space="preserve">Students earning an Associate Degree for Transfer – also known as a ‘Degree with a Guarantee’ – have been assured acceptance to a California State University campus since the 2011-12 academic year, and the new agreement marks </w:t>
      </w:r>
      <w:r>
        <w:rPr>
          <w:rFonts w:ascii="Source Sans Pro" w:hAnsi="Source Sans Pro"/>
        </w:rPr>
        <w:t>a</w:t>
      </w:r>
      <w:r w:rsidRPr="00C77259">
        <w:rPr>
          <w:rFonts w:ascii="Source Sans Pro" w:hAnsi="Source Sans Pro"/>
        </w:rPr>
        <w:t xml:space="preserve"> significant expansion of the program since its inception. California community college students with such a degree will now be guaranteed that prior coursework will be transferable to private</w:t>
      </w:r>
      <w:r>
        <w:rPr>
          <w:rFonts w:ascii="Source Sans Pro" w:hAnsi="Source Sans Pro"/>
        </w:rPr>
        <w:t>, non-profit</w:t>
      </w:r>
      <w:r w:rsidRPr="00C77259">
        <w:rPr>
          <w:rFonts w:ascii="Source Sans Pro" w:hAnsi="Source Sans Pro"/>
        </w:rPr>
        <w:t xml:space="preserve"> four-year institutions ranging from Azusa Pacific University to Whittier College, while also seeing a more streamlined and simplified transfer process.</w:t>
      </w:r>
    </w:p>
    <w:p w:rsidR="00E40FE9" w:rsidRPr="00C77259" w:rsidRDefault="00E40FE9">
      <w:pPr>
        <w:rPr>
          <w:rFonts w:ascii="Source Sans Pro" w:hAnsi="Source Sans Pro"/>
        </w:rPr>
      </w:pPr>
    </w:p>
    <w:p w:rsidR="00AF3879" w:rsidRPr="00C77259" w:rsidRDefault="00AF3879" w:rsidP="00AF3879">
      <w:pPr>
        <w:rPr>
          <w:rFonts w:ascii="Source Sans Pro" w:hAnsi="Source Sans Pro"/>
        </w:rPr>
      </w:pPr>
      <w:r w:rsidRPr="00C77259">
        <w:rPr>
          <w:rFonts w:ascii="Source Sans Pro" w:hAnsi="Source Sans Pro"/>
        </w:rPr>
        <w:t xml:space="preserve">The </w:t>
      </w:r>
      <w:r w:rsidR="00B61728" w:rsidRPr="00C77259">
        <w:rPr>
          <w:rFonts w:ascii="Source Sans Pro" w:hAnsi="Source Sans Pro"/>
        </w:rPr>
        <w:t xml:space="preserve">Associate Degree for Transfer’s expansion </w:t>
      </w:r>
      <w:r w:rsidRPr="00C77259">
        <w:rPr>
          <w:rFonts w:ascii="Source Sans Pro" w:hAnsi="Source Sans Pro"/>
        </w:rPr>
        <w:t xml:space="preserve">will help the California Community Colleges meet its ambitious goals set forth in its recently adopted </w:t>
      </w:r>
      <w:hyperlink r:id="rId9" w:history="1">
        <w:r w:rsidRPr="00C77259">
          <w:rPr>
            <w:rStyle w:val="Hyperlink"/>
            <w:rFonts w:ascii="Source Sans Pro" w:hAnsi="Source Sans Pro"/>
          </w:rPr>
          <w:t>Vision for Success</w:t>
        </w:r>
      </w:hyperlink>
      <w:r w:rsidRPr="00C77259">
        <w:rPr>
          <w:rFonts w:ascii="Source Sans Pro" w:hAnsi="Source Sans Pro"/>
        </w:rPr>
        <w:t>, which, among other things, calls</w:t>
      </w:r>
      <w:r w:rsidR="00927670" w:rsidRPr="00C77259">
        <w:rPr>
          <w:rFonts w:ascii="Source Sans Pro" w:hAnsi="Source Sans Pro"/>
        </w:rPr>
        <w:t xml:space="preserve"> for</w:t>
      </w:r>
      <w:r w:rsidRPr="00C77259">
        <w:rPr>
          <w:rFonts w:ascii="Source Sans Pro" w:hAnsi="Source Sans Pro"/>
        </w:rPr>
        <w:t xml:space="preserve"> substantial increases in the number of students transferring to a four-year college or university each year.</w:t>
      </w:r>
    </w:p>
    <w:p w:rsidR="00AF3879" w:rsidRPr="00C77259" w:rsidRDefault="00AF3879">
      <w:pPr>
        <w:rPr>
          <w:rFonts w:ascii="Source Sans Pro" w:hAnsi="Source Sans Pro"/>
        </w:rPr>
      </w:pPr>
    </w:p>
    <w:p w:rsidR="0050017B" w:rsidRPr="00C77259" w:rsidRDefault="0050017B">
      <w:pPr>
        <w:rPr>
          <w:rFonts w:ascii="Source Sans Pro" w:hAnsi="Source Sans Pro"/>
        </w:rPr>
      </w:pPr>
      <w:r w:rsidRPr="00C77259">
        <w:rPr>
          <w:rFonts w:ascii="Source Sans Pro" w:hAnsi="Source Sans Pro"/>
        </w:rPr>
        <w:t>“</w:t>
      </w:r>
      <w:r w:rsidR="000C46FE" w:rsidRPr="00C77259">
        <w:rPr>
          <w:rFonts w:ascii="Source Sans Pro" w:hAnsi="Source Sans Pro"/>
        </w:rPr>
        <w:t>Projections from the</w:t>
      </w:r>
      <w:r w:rsidR="00653997" w:rsidRPr="00C77259">
        <w:rPr>
          <w:rFonts w:ascii="Source Sans Pro" w:hAnsi="Source Sans Pro"/>
        </w:rPr>
        <w:t xml:space="preserve"> Public Policy Institute of </w:t>
      </w:r>
      <w:r w:rsidR="000C46FE" w:rsidRPr="00C77259">
        <w:rPr>
          <w:rFonts w:ascii="Source Sans Pro" w:hAnsi="Source Sans Pro"/>
        </w:rPr>
        <w:t>California say</w:t>
      </w:r>
      <w:r w:rsidR="00653997" w:rsidRPr="00C77259">
        <w:rPr>
          <w:rFonts w:ascii="Source Sans Pro" w:hAnsi="Source Sans Pro"/>
        </w:rPr>
        <w:t xml:space="preserve"> the state will </w:t>
      </w:r>
      <w:r w:rsidR="000C46FE" w:rsidRPr="00C77259">
        <w:rPr>
          <w:rFonts w:ascii="Source Sans Pro" w:hAnsi="Source Sans Pro"/>
        </w:rPr>
        <w:t xml:space="preserve">by 2030 </w:t>
      </w:r>
      <w:r w:rsidR="00653997" w:rsidRPr="00C77259">
        <w:rPr>
          <w:rFonts w:ascii="Source Sans Pro" w:hAnsi="Source Sans Pro"/>
        </w:rPr>
        <w:t xml:space="preserve">have a shortage of 1.1 million </w:t>
      </w:r>
      <w:r w:rsidR="00AF3879" w:rsidRPr="00C77259">
        <w:rPr>
          <w:rFonts w:ascii="Source Sans Pro" w:hAnsi="Source Sans Pro"/>
        </w:rPr>
        <w:t xml:space="preserve">workers holding a bachelor’s degree </w:t>
      </w:r>
      <w:r w:rsidR="00653997" w:rsidRPr="00C77259">
        <w:rPr>
          <w:rFonts w:ascii="Source Sans Pro" w:hAnsi="Source Sans Pro"/>
        </w:rPr>
        <w:t xml:space="preserve">needed to meet </w:t>
      </w:r>
      <w:r w:rsidR="000C46FE" w:rsidRPr="00C77259">
        <w:rPr>
          <w:rFonts w:ascii="Source Sans Pro" w:hAnsi="Source Sans Pro"/>
        </w:rPr>
        <w:t xml:space="preserve">workforce demands,” </w:t>
      </w:r>
      <w:r w:rsidR="00653997" w:rsidRPr="00C77259">
        <w:rPr>
          <w:rFonts w:ascii="Source Sans Pro" w:hAnsi="Source Sans Pro"/>
        </w:rPr>
        <w:t xml:space="preserve">said </w:t>
      </w:r>
      <w:r w:rsidR="00D72FDA">
        <w:rPr>
          <w:rFonts w:ascii="Source Sans Pro" w:hAnsi="Source Sans Pro"/>
        </w:rPr>
        <w:t>California Community Colleges Chancellor Eloy Ortiz Oakley</w:t>
      </w:r>
      <w:r w:rsidR="00653997" w:rsidRPr="00C77259">
        <w:rPr>
          <w:rFonts w:ascii="Source Sans Pro" w:hAnsi="Source Sans Pro"/>
        </w:rPr>
        <w:t>. “</w:t>
      </w:r>
      <w:r w:rsidR="000C46FE" w:rsidRPr="00C77259">
        <w:rPr>
          <w:rFonts w:ascii="Source Sans Pro" w:hAnsi="Source Sans Pro"/>
        </w:rPr>
        <w:t>The Associate Degree for Transfer program is vital to our economy, and w</w:t>
      </w:r>
      <w:r w:rsidR="00653997" w:rsidRPr="00C77259">
        <w:rPr>
          <w:rFonts w:ascii="Source Sans Pro" w:hAnsi="Source Sans Pro"/>
        </w:rPr>
        <w:t>e are proud to work with the</w:t>
      </w:r>
      <w:r w:rsidRPr="00C77259">
        <w:rPr>
          <w:rFonts w:ascii="Source Sans Pro" w:hAnsi="Source Sans Pro"/>
        </w:rPr>
        <w:t xml:space="preserve"> Association of Independent California Colleges and Universities </w:t>
      </w:r>
      <w:r w:rsidR="00653997" w:rsidRPr="00C77259">
        <w:rPr>
          <w:rFonts w:ascii="Source Sans Pro" w:hAnsi="Source Sans Pro"/>
        </w:rPr>
        <w:t xml:space="preserve">in providing our </w:t>
      </w:r>
      <w:r w:rsidR="000C46FE" w:rsidRPr="00C77259">
        <w:rPr>
          <w:rFonts w:ascii="Source Sans Pro" w:hAnsi="Source Sans Pro"/>
        </w:rPr>
        <w:t xml:space="preserve">students additional opportunities to further their education and </w:t>
      </w:r>
      <w:r w:rsidR="00AF3879" w:rsidRPr="00C77259">
        <w:rPr>
          <w:rFonts w:ascii="Source Sans Pro" w:hAnsi="Source Sans Pro"/>
        </w:rPr>
        <w:t xml:space="preserve">help guarantee their chances of </w:t>
      </w:r>
      <w:r w:rsidR="00DD08BB" w:rsidRPr="00C77259">
        <w:rPr>
          <w:rFonts w:ascii="Source Sans Pro" w:hAnsi="Source Sans Pro"/>
        </w:rPr>
        <w:t xml:space="preserve">achieving </w:t>
      </w:r>
      <w:r w:rsidR="00AF3879" w:rsidRPr="00C77259">
        <w:rPr>
          <w:rFonts w:ascii="Source Sans Pro" w:hAnsi="Source Sans Pro"/>
        </w:rPr>
        <w:t>upward social</w:t>
      </w:r>
      <w:r w:rsidR="000C46FE" w:rsidRPr="00C77259">
        <w:rPr>
          <w:rFonts w:ascii="Source Sans Pro" w:hAnsi="Source Sans Pro"/>
        </w:rPr>
        <w:t xml:space="preserve"> mobility.”</w:t>
      </w:r>
    </w:p>
    <w:p w:rsidR="005F07F0" w:rsidRPr="00C77259" w:rsidRDefault="005F07F0">
      <w:pPr>
        <w:rPr>
          <w:rFonts w:ascii="Source Sans Pro" w:hAnsi="Source Sans Pro"/>
        </w:rPr>
      </w:pPr>
    </w:p>
    <w:p w:rsidR="00821A48" w:rsidRPr="00C77259" w:rsidRDefault="00821A48">
      <w:pPr>
        <w:rPr>
          <w:rFonts w:ascii="Source Sans Pro" w:hAnsi="Source Sans Pro"/>
        </w:rPr>
      </w:pPr>
      <w:r w:rsidRPr="00C77259">
        <w:rPr>
          <w:rFonts w:ascii="Source Sans Pro" w:hAnsi="Source Sans Pro"/>
        </w:rPr>
        <w:t>The Associate Degree for Transfer has proven a success since its adoption. Nearly half of students with an Associate Degree for Transfer earn a bachelor’s degree from a California State University campus within two years, compared to just 27 percent fo</w:t>
      </w:r>
      <w:r w:rsidR="00FD17A0" w:rsidRPr="00C77259">
        <w:rPr>
          <w:rFonts w:ascii="Source Sans Pro" w:hAnsi="Source Sans Pro"/>
        </w:rPr>
        <w:t xml:space="preserve">r traditional transfer students, according to </w:t>
      </w:r>
      <w:r w:rsidR="0048703E" w:rsidRPr="00C77259">
        <w:rPr>
          <w:rFonts w:ascii="Source Sans Pro" w:hAnsi="Source Sans Pro"/>
        </w:rPr>
        <w:t xml:space="preserve">the </w:t>
      </w:r>
      <w:r w:rsidR="00FD17A0" w:rsidRPr="00C77259">
        <w:rPr>
          <w:rFonts w:ascii="Source Sans Pro" w:hAnsi="Source Sans Pro"/>
        </w:rPr>
        <w:t>2017 Campaign for College Opportunity report.</w:t>
      </w:r>
      <w:r w:rsidRPr="00C77259">
        <w:rPr>
          <w:rFonts w:ascii="Source Sans Pro" w:hAnsi="Source Sans Pro"/>
        </w:rPr>
        <w:t xml:space="preserve"> </w:t>
      </w:r>
    </w:p>
    <w:p w:rsidR="00821A48" w:rsidRPr="00C77259" w:rsidRDefault="00821A48">
      <w:pPr>
        <w:rPr>
          <w:rFonts w:ascii="Source Sans Pro" w:hAnsi="Source Sans Pro"/>
        </w:rPr>
      </w:pPr>
    </w:p>
    <w:p w:rsidR="00653997" w:rsidRPr="00C77259" w:rsidRDefault="00277BD1">
      <w:pPr>
        <w:rPr>
          <w:rFonts w:ascii="Source Sans Pro" w:hAnsi="Source Sans Pro"/>
        </w:rPr>
      </w:pPr>
      <w:r>
        <w:rPr>
          <w:rFonts w:ascii="Source Sans Pro" w:hAnsi="Source Sans Pro"/>
        </w:rPr>
        <w:t>P</w:t>
      </w:r>
      <w:r w:rsidR="00176409">
        <w:rPr>
          <w:rFonts w:ascii="Source Sans Pro" w:hAnsi="Source Sans Pro"/>
        </w:rPr>
        <w:t>articipating AICCU</w:t>
      </w:r>
      <w:r w:rsidR="0079774C" w:rsidRPr="00C77259">
        <w:rPr>
          <w:rFonts w:ascii="Source Sans Pro" w:hAnsi="Source Sans Pro"/>
        </w:rPr>
        <w:t xml:space="preserve"> schools</w:t>
      </w:r>
      <w:r>
        <w:rPr>
          <w:rFonts w:ascii="Source Sans Pro" w:hAnsi="Source Sans Pro"/>
        </w:rPr>
        <w:t>, as outlined in the agreement,</w:t>
      </w:r>
      <w:r w:rsidR="0079774C" w:rsidRPr="00C77259">
        <w:rPr>
          <w:rFonts w:ascii="Source Sans Pro" w:hAnsi="Source Sans Pro"/>
        </w:rPr>
        <w:t xml:space="preserve"> will </w:t>
      </w:r>
      <w:r w:rsidR="00AD154E">
        <w:rPr>
          <w:rFonts w:ascii="Source Sans Pro" w:hAnsi="Source Sans Pro"/>
        </w:rPr>
        <w:t xml:space="preserve">also </w:t>
      </w:r>
      <w:r w:rsidR="00DD08BB" w:rsidRPr="00C77259">
        <w:rPr>
          <w:rFonts w:ascii="Source Sans Pro" w:hAnsi="Source Sans Pro"/>
        </w:rPr>
        <w:t xml:space="preserve">collaborate with community colleges in providing </w:t>
      </w:r>
      <w:r w:rsidR="0079774C" w:rsidRPr="00C77259">
        <w:rPr>
          <w:rFonts w:ascii="Source Sans Pro" w:hAnsi="Source Sans Pro"/>
        </w:rPr>
        <w:t xml:space="preserve">pre-enrollment information and advice to interested community colleges students and engage in discussions about potential pathways toward a bachelor’s degree. </w:t>
      </w:r>
    </w:p>
    <w:p w:rsidR="00927670" w:rsidRPr="00C77259" w:rsidRDefault="00927670">
      <w:pPr>
        <w:rPr>
          <w:rFonts w:ascii="Source Sans Pro" w:hAnsi="Source Sans Pro"/>
        </w:rPr>
      </w:pPr>
    </w:p>
    <w:p w:rsidR="00A714C5" w:rsidRPr="00C77259" w:rsidRDefault="00A714C5" w:rsidP="00A714C5">
      <w:pPr>
        <w:rPr>
          <w:rFonts w:ascii="Source Sans Pro" w:eastAsia="Times New Roman" w:hAnsi="Source Sans Pro" w:cs="Times New Roman"/>
        </w:rPr>
      </w:pPr>
      <w:r w:rsidRPr="00C77259">
        <w:rPr>
          <w:rFonts w:ascii="Source Sans Pro" w:eastAsia="Times New Roman" w:hAnsi="Source Sans Pro" w:cs="Calibri"/>
          <w:color w:val="000000"/>
        </w:rPr>
        <w:t>“AICCU has been actively engaged with Governor Jerry Brown’s administration and the California Community Colleges Chancellor’s Office to open up a guaranteed transfer pathway for community college students to transfer to an independent California institution,” said AICCU President Kristen Soares. “Our commitment today will provide tremendous help toward creating new regional college access opportunities for transfer students to attend an institution that bes</w:t>
      </w:r>
      <w:r w:rsidR="00974CC5" w:rsidRPr="00C77259">
        <w:rPr>
          <w:rFonts w:ascii="Source Sans Pro" w:eastAsia="Times New Roman" w:hAnsi="Source Sans Pro" w:cs="Calibri"/>
          <w:color w:val="000000"/>
        </w:rPr>
        <w:t>t meets their educational goals and increases their opportunity to succeed.</w:t>
      </w:r>
      <w:r w:rsidRPr="00C77259">
        <w:rPr>
          <w:rFonts w:ascii="Source Sans Pro" w:eastAsia="Times New Roman" w:hAnsi="Source Sans Pro" w:cs="Calibri"/>
          <w:color w:val="000000"/>
        </w:rPr>
        <w:t xml:space="preserve">” </w:t>
      </w:r>
    </w:p>
    <w:p w:rsidR="00F776E0" w:rsidRPr="00C77259" w:rsidRDefault="00F776E0">
      <w:pPr>
        <w:rPr>
          <w:rFonts w:ascii="Source Sans Pro" w:hAnsi="Source Sans Pro"/>
        </w:rPr>
      </w:pPr>
    </w:p>
    <w:p w:rsidR="00F776E0" w:rsidRPr="00C77259" w:rsidRDefault="003A5944">
      <w:pPr>
        <w:rPr>
          <w:rFonts w:ascii="Source Sans Pro" w:hAnsi="Source Sans Pro"/>
        </w:rPr>
      </w:pPr>
      <w:r w:rsidRPr="00C77259">
        <w:rPr>
          <w:rFonts w:ascii="Source Sans Pro" w:hAnsi="Source Sans Pro"/>
        </w:rPr>
        <w:t>The demand is there. One in five of all community college students nationwide are enrolled in a California community college, and a</w:t>
      </w:r>
      <w:r w:rsidR="00F776E0" w:rsidRPr="00C77259">
        <w:rPr>
          <w:rFonts w:ascii="Source Sans Pro" w:hAnsi="Source Sans Pro"/>
        </w:rPr>
        <w:t xml:space="preserve">pproximately </w:t>
      </w:r>
      <w:r w:rsidRPr="00C77259">
        <w:rPr>
          <w:rFonts w:ascii="Source Sans Pro" w:hAnsi="Source Sans Pro"/>
        </w:rPr>
        <w:t>seven</w:t>
      </w:r>
      <w:r w:rsidR="00F776E0" w:rsidRPr="00C77259">
        <w:rPr>
          <w:rFonts w:ascii="Source Sans Pro" w:hAnsi="Source Sans Pro"/>
        </w:rPr>
        <w:t xml:space="preserve"> in 10 California community college students declare transferring to a four-year college or university as their intended goal. </w:t>
      </w:r>
    </w:p>
    <w:p w:rsidR="00653997" w:rsidRPr="00C77259" w:rsidRDefault="00653997">
      <w:pPr>
        <w:rPr>
          <w:rFonts w:ascii="Source Sans Pro" w:hAnsi="Source Sans Pro"/>
        </w:rPr>
      </w:pPr>
    </w:p>
    <w:p w:rsidR="005F07F0" w:rsidRPr="00C77259" w:rsidRDefault="005F07F0" w:rsidP="005F07F0">
      <w:pPr>
        <w:pStyle w:val="NormalWeb"/>
        <w:shd w:val="clear" w:color="auto" w:fill="FFFFFF"/>
        <w:spacing w:before="0" w:beforeAutospacing="0" w:after="0" w:afterAutospacing="0"/>
        <w:jc w:val="center"/>
        <w:rPr>
          <w:rFonts w:ascii="Source Sans Pro" w:hAnsi="Source Sans Pro" w:cs="Arial"/>
          <w:b/>
          <w:bCs/>
        </w:rPr>
      </w:pPr>
      <w:r w:rsidRPr="00C77259">
        <w:rPr>
          <w:rFonts w:ascii="Source Sans Pro" w:hAnsi="Source Sans Pro" w:cs="Arial"/>
          <w:b/>
          <w:bCs/>
        </w:rPr>
        <w:t>AICCU ADT Participating Institution by Term</w:t>
      </w:r>
    </w:p>
    <w:p w:rsidR="00417E1E" w:rsidRPr="00C77259" w:rsidRDefault="00417E1E" w:rsidP="005F07F0">
      <w:pPr>
        <w:pStyle w:val="NormalWeb"/>
        <w:shd w:val="clear" w:color="auto" w:fill="FFFFFF"/>
        <w:spacing w:before="0" w:beforeAutospacing="0" w:after="0" w:afterAutospacing="0"/>
        <w:jc w:val="center"/>
        <w:rPr>
          <w:rFonts w:ascii="Source Sans Pro" w:hAnsi="Source Sans Pro"/>
        </w:rPr>
      </w:pPr>
    </w:p>
    <w:p w:rsidR="005F07F0" w:rsidRPr="00C77259" w:rsidRDefault="005F07F0" w:rsidP="005F07F0">
      <w:pPr>
        <w:pStyle w:val="NormalWeb"/>
        <w:shd w:val="clear" w:color="auto" w:fill="FFFFFF"/>
        <w:spacing w:before="0" w:beforeAutospacing="0" w:after="0" w:afterAutospacing="0"/>
        <w:rPr>
          <w:rFonts w:ascii="Source Sans Pro" w:hAnsi="Source Sans Pro"/>
        </w:rPr>
      </w:pPr>
      <w:r w:rsidRPr="00C77259">
        <w:rPr>
          <w:rFonts w:ascii="Source Sans Pro" w:hAnsi="Source Sans Pro" w:cs="Calibri"/>
        </w:rPr>
        <w:t xml:space="preserve">Academic Year 2018-2019 </w:t>
      </w:r>
    </w:p>
    <w:p w:rsidR="005F07F0" w:rsidRPr="00C77259" w:rsidRDefault="005F07F0" w:rsidP="005F07F0">
      <w:pPr>
        <w:pStyle w:val="NormalWeb"/>
        <w:shd w:val="clear" w:color="auto" w:fill="FFFFFF"/>
        <w:spacing w:before="0" w:beforeAutospacing="0" w:after="0" w:afterAutospacing="0"/>
        <w:rPr>
          <w:rFonts w:ascii="Source Sans Pro" w:hAnsi="Source Sans Pro" w:cs="Calibri"/>
          <w:b/>
        </w:rPr>
      </w:pPr>
      <w:r w:rsidRPr="00C77259">
        <w:rPr>
          <w:rFonts w:ascii="Source Sans Pro" w:hAnsi="Source Sans Pro" w:cs="Calibri"/>
          <w:b/>
        </w:rPr>
        <w:t xml:space="preserve">Begin accepting applications in </w:t>
      </w:r>
      <w:r w:rsidR="00417E1E" w:rsidRPr="00C77259">
        <w:rPr>
          <w:rFonts w:ascii="Source Sans Pro" w:hAnsi="Source Sans Pro" w:cs="Calibri"/>
          <w:b/>
        </w:rPr>
        <w:t>fall</w:t>
      </w:r>
      <w:r w:rsidRPr="00C77259">
        <w:rPr>
          <w:rFonts w:ascii="Source Sans Pro" w:hAnsi="Source Sans Pro" w:cs="Calibri"/>
          <w:b/>
        </w:rPr>
        <w:t xml:space="preserve"> 2018</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Azusa Pacific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 xml:space="preserve">Brandman University </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California Baptist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California Baptist University Online</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California Institute of Integral Studies</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California Lutheran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The Chicago School of Professional Psychology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Concordia University Irvine</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 xml:space="preserve">Fresno Pacific University </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Golden Gate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Holy Names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Humphreys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La Sierra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Los Angeles Pacific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Mills College</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Mount Saint Mary’s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 xml:space="preserve">National University </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Pacific Oaks College</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Pacific Union College</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Palo Alto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lastRenderedPageBreak/>
        <w:t>Pepperdine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San Diego Christian College</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Simpson University</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 xml:space="preserve">University of La Verne </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University of Redlands</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University of Saint Katherine</w:t>
      </w:r>
    </w:p>
    <w:p w:rsidR="0014413C" w:rsidRPr="00C77259" w:rsidRDefault="0014413C" w:rsidP="0014413C">
      <w:pPr>
        <w:pStyle w:val="ListParagraph"/>
        <w:numPr>
          <w:ilvl w:val="1"/>
          <w:numId w:val="4"/>
        </w:numPr>
        <w:rPr>
          <w:rFonts w:ascii="Source Sans Pro" w:hAnsi="Source Sans Pro"/>
        </w:rPr>
      </w:pPr>
      <w:r w:rsidRPr="00C77259">
        <w:rPr>
          <w:rFonts w:ascii="Source Sans Pro" w:hAnsi="Source Sans Pro"/>
        </w:rPr>
        <w:t>University of San Francisco</w:t>
      </w:r>
    </w:p>
    <w:p w:rsidR="005F07F0" w:rsidRPr="00C77259" w:rsidRDefault="0014413C" w:rsidP="0014413C">
      <w:pPr>
        <w:pStyle w:val="ListParagraph"/>
        <w:numPr>
          <w:ilvl w:val="1"/>
          <w:numId w:val="4"/>
        </w:numPr>
        <w:rPr>
          <w:rFonts w:ascii="Source Sans Pro" w:hAnsi="Source Sans Pro"/>
        </w:rPr>
      </w:pPr>
      <w:r w:rsidRPr="00C77259">
        <w:rPr>
          <w:rFonts w:ascii="Source Sans Pro" w:hAnsi="Source Sans Pro"/>
        </w:rPr>
        <w:t>Whittier College</w:t>
      </w:r>
    </w:p>
    <w:p w:rsidR="0014413C" w:rsidRPr="00C77259" w:rsidRDefault="0014413C" w:rsidP="0014413C">
      <w:pPr>
        <w:pStyle w:val="ListParagraph"/>
        <w:ind w:left="1440"/>
        <w:rPr>
          <w:rFonts w:ascii="Source Sans Pro" w:hAnsi="Source Sans Pro"/>
        </w:rPr>
      </w:pPr>
    </w:p>
    <w:p w:rsidR="005F07F0" w:rsidRPr="00C77259" w:rsidRDefault="005F07F0" w:rsidP="005F07F0">
      <w:pPr>
        <w:pStyle w:val="NormalWeb"/>
        <w:shd w:val="clear" w:color="auto" w:fill="FFFFFF"/>
        <w:spacing w:before="0" w:beforeAutospacing="0" w:after="0" w:afterAutospacing="0"/>
        <w:rPr>
          <w:rFonts w:ascii="Source Sans Pro" w:hAnsi="Source Sans Pro" w:cs="Calibri"/>
          <w:b/>
        </w:rPr>
      </w:pPr>
      <w:r w:rsidRPr="00C77259">
        <w:rPr>
          <w:rFonts w:ascii="Source Sans Pro" w:hAnsi="Source Sans Pro" w:cs="Calibri"/>
          <w:b/>
        </w:rPr>
        <w:t>Begin accept</w:t>
      </w:r>
      <w:r w:rsidR="00417E1E" w:rsidRPr="00C77259">
        <w:rPr>
          <w:rFonts w:ascii="Source Sans Pro" w:hAnsi="Source Sans Pro" w:cs="Calibri"/>
          <w:b/>
        </w:rPr>
        <w:t>ing applications in s</w:t>
      </w:r>
      <w:r w:rsidRPr="00C77259">
        <w:rPr>
          <w:rFonts w:ascii="Source Sans Pro" w:hAnsi="Source Sans Pro" w:cs="Calibri"/>
          <w:b/>
        </w:rPr>
        <w:t>pring 2019</w:t>
      </w:r>
    </w:p>
    <w:p w:rsidR="0014413C" w:rsidRPr="00C77259" w:rsidRDefault="0014413C" w:rsidP="0014413C">
      <w:pPr>
        <w:pStyle w:val="ListParagraph"/>
        <w:numPr>
          <w:ilvl w:val="0"/>
          <w:numId w:val="5"/>
        </w:numPr>
        <w:rPr>
          <w:rFonts w:ascii="Source Sans Pro" w:hAnsi="Source Sans Pro"/>
        </w:rPr>
      </w:pPr>
      <w:r w:rsidRPr="00C77259">
        <w:rPr>
          <w:rFonts w:ascii="Source Sans Pro" w:hAnsi="Source Sans Pro"/>
        </w:rPr>
        <w:t>Marymount California University</w:t>
      </w:r>
    </w:p>
    <w:p w:rsidR="0014413C" w:rsidRPr="00C77259" w:rsidRDefault="0014413C" w:rsidP="0014413C">
      <w:pPr>
        <w:pStyle w:val="ListParagraph"/>
        <w:numPr>
          <w:ilvl w:val="0"/>
          <w:numId w:val="5"/>
        </w:numPr>
        <w:rPr>
          <w:rFonts w:ascii="Source Sans Pro" w:hAnsi="Source Sans Pro"/>
        </w:rPr>
      </w:pPr>
      <w:r w:rsidRPr="00C77259">
        <w:rPr>
          <w:rFonts w:ascii="Source Sans Pro" w:hAnsi="Source Sans Pro"/>
        </w:rPr>
        <w:t>Notre Dame de Namur University</w:t>
      </w:r>
    </w:p>
    <w:p w:rsidR="0014413C" w:rsidRPr="00C77259" w:rsidRDefault="0014413C" w:rsidP="0014413C">
      <w:pPr>
        <w:pStyle w:val="ListParagraph"/>
        <w:numPr>
          <w:ilvl w:val="0"/>
          <w:numId w:val="5"/>
        </w:numPr>
        <w:rPr>
          <w:rFonts w:ascii="Source Sans Pro" w:hAnsi="Source Sans Pro"/>
        </w:rPr>
      </w:pPr>
      <w:r w:rsidRPr="00C77259">
        <w:rPr>
          <w:rFonts w:ascii="Source Sans Pro" w:hAnsi="Source Sans Pro"/>
        </w:rPr>
        <w:t>Point Loma Nazarene University</w:t>
      </w:r>
    </w:p>
    <w:p w:rsidR="0014413C" w:rsidRPr="00C77259" w:rsidRDefault="0014413C" w:rsidP="0014413C">
      <w:pPr>
        <w:pStyle w:val="ListParagraph"/>
        <w:numPr>
          <w:ilvl w:val="0"/>
          <w:numId w:val="5"/>
        </w:numPr>
        <w:rPr>
          <w:rFonts w:ascii="Source Sans Pro" w:hAnsi="Source Sans Pro"/>
        </w:rPr>
      </w:pPr>
      <w:r w:rsidRPr="00C77259">
        <w:rPr>
          <w:rFonts w:ascii="Source Sans Pro" w:hAnsi="Source Sans Pro"/>
        </w:rPr>
        <w:t xml:space="preserve">Saint Mary’s College of California </w:t>
      </w:r>
    </w:p>
    <w:p w:rsidR="0014413C" w:rsidRPr="00C77259" w:rsidRDefault="0014413C" w:rsidP="0014413C">
      <w:pPr>
        <w:pStyle w:val="ListParagraph"/>
        <w:numPr>
          <w:ilvl w:val="0"/>
          <w:numId w:val="5"/>
        </w:numPr>
        <w:rPr>
          <w:rFonts w:ascii="Source Sans Pro" w:hAnsi="Source Sans Pro"/>
        </w:rPr>
      </w:pPr>
      <w:r w:rsidRPr="00C77259">
        <w:rPr>
          <w:rFonts w:ascii="Source Sans Pro" w:hAnsi="Source Sans Pro"/>
        </w:rPr>
        <w:t>University of the West</w:t>
      </w:r>
    </w:p>
    <w:p w:rsidR="0014413C" w:rsidRPr="00C77259" w:rsidRDefault="0014413C" w:rsidP="0014413C">
      <w:pPr>
        <w:pStyle w:val="ListParagraph"/>
        <w:numPr>
          <w:ilvl w:val="0"/>
          <w:numId w:val="5"/>
        </w:numPr>
        <w:rPr>
          <w:rFonts w:ascii="Source Sans Pro" w:hAnsi="Source Sans Pro"/>
        </w:rPr>
      </w:pPr>
      <w:r w:rsidRPr="00C77259">
        <w:rPr>
          <w:rFonts w:ascii="Source Sans Pro" w:hAnsi="Source Sans Pro"/>
        </w:rPr>
        <w:t>Westmont College</w:t>
      </w:r>
    </w:p>
    <w:p w:rsidR="0014413C" w:rsidRPr="00C77259" w:rsidRDefault="0014413C" w:rsidP="0014413C">
      <w:pPr>
        <w:pStyle w:val="ListParagraph"/>
        <w:numPr>
          <w:ilvl w:val="0"/>
          <w:numId w:val="5"/>
        </w:numPr>
        <w:rPr>
          <w:rFonts w:ascii="Source Sans Pro" w:hAnsi="Source Sans Pro"/>
        </w:rPr>
      </w:pPr>
      <w:r w:rsidRPr="00C77259">
        <w:rPr>
          <w:rFonts w:ascii="Source Sans Pro" w:hAnsi="Source Sans Pro"/>
        </w:rPr>
        <w:t>William Jessup University</w:t>
      </w:r>
    </w:p>
    <w:p w:rsidR="005F07F0" w:rsidRPr="00C77259" w:rsidRDefault="005F07F0" w:rsidP="005F07F0">
      <w:pPr>
        <w:pStyle w:val="NormalWeb"/>
        <w:shd w:val="clear" w:color="auto" w:fill="FFFFFF"/>
        <w:spacing w:before="0" w:beforeAutospacing="0" w:after="0" w:afterAutospacing="0"/>
        <w:rPr>
          <w:rFonts w:ascii="Source Sans Pro" w:hAnsi="Source Sans Pro"/>
        </w:rPr>
      </w:pPr>
    </w:p>
    <w:p w:rsidR="005F07F0" w:rsidRPr="00C77259" w:rsidRDefault="005F07F0" w:rsidP="005F07F0">
      <w:pPr>
        <w:pStyle w:val="NormalWeb"/>
        <w:shd w:val="clear" w:color="auto" w:fill="FFFFFF"/>
        <w:spacing w:before="0" w:beforeAutospacing="0" w:after="0" w:afterAutospacing="0"/>
        <w:rPr>
          <w:rFonts w:ascii="Source Sans Pro" w:hAnsi="Source Sans Pro" w:cs="Calibri"/>
        </w:rPr>
      </w:pPr>
      <w:r w:rsidRPr="00C77259">
        <w:rPr>
          <w:rFonts w:ascii="Source Sans Pro" w:hAnsi="Source Sans Pro" w:cs="Calibri"/>
        </w:rPr>
        <w:t xml:space="preserve">Academic Year 2019-2020 </w:t>
      </w:r>
    </w:p>
    <w:p w:rsidR="005F07F0" w:rsidRPr="00C77259" w:rsidRDefault="005F07F0" w:rsidP="005F07F0">
      <w:pPr>
        <w:pStyle w:val="NormalWeb"/>
        <w:shd w:val="clear" w:color="auto" w:fill="FFFFFF"/>
        <w:spacing w:before="0" w:beforeAutospacing="0" w:after="0" w:afterAutospacing="0"/>
        <w:rPr>
          <w:rFonts w:ascii="Source Sans Pro" w:hAnsi="Source Sans Pro"/>
          <w:b/>
        </w:rPr>
      </w:pPr>
      <w:r w:rsidRPr="00C77259">
        <w:rPr>
          <w:rFonts w:ascii="Source Sans Pro" w:hAnsi="Source Sans Pro" w:cs="Calibri"/>
          <w:b/>
        </w:rPr>
        <w:t>(Begin accepting application</w:t>
      </w:r>
      <w:r w:rsidR="00417E1E" w:rsidRPr="00C77259">
        <w:rPr>
          <w:rFonts w:ascii="Source Sans Pro" w:hAnsi="Source Sans Pro" w:cs="Calibri"/>
          <w:b/>
        </w:rPr>
        <w:t>s</w:t>
      </w:r>
      <w:r w:rsidRPr="00C77259">
        <w:rPr>
          <w:rFonts w:ascii="Source Sans Pro" w:hAnsi="Source Sans Pro" w:cs="Calibri"/>
          <w:b/>
        </w:rPr>
        <w:t xml:space="preserve"> in fall 2019)</w:t>
      </w:r>
    </w:p>
    <w:p w:rsidR="005F07F0" w:rsidRPr="00C77259" w:rsidRDefault="005F07F0" w:rsidP="005F07F0">
      <w:pPr>
        <w:pStyle w:val="NormalWeb"/>
        <w:shd w:val="clear" w:color="auto" w:fill="FFFFFF"/>
        <w:spacing w:before="0" w:beforeAutospacing="0" w:after="0" w:afterAutospacing="0"/>
        <w:rPr>
          <w:rFonts w:ascii="Source Sans Pro" w:hAnsi="Source Sans Pro"/>
        </w:rPr>
      </w:pPr>
      <w:r w:rsidRPr="00C77259">
        <w:rPr>
          <w:rFonts w:ascii="Source Sans Pro" w:hAnsi="Source Sans Pro" w:cs="Calibri"/>
        </w:rPr>
        <w:t xml:space="preserve">John Paul the Great Catholic University </w:t>
      </w:r>
    </w:p>
    <w:p w:rsidR="005F07F0" w:rsidRPr="00C77259" w:rsidRDefault="005F07F0" w:rsidP="005F07F0">
      <w:pPr>
        <w:rPr>
          <w:rFonts w:ascii="Source Sans Pro" w:hAnsi="Source Sans Pro"/>
        </w:rPr>
      </w:pPr>
    </w:p>
    <w:p w:rsidR="00927670" w:rsidRPr="003D4B91" w:rsidRDefault="00927670" w:rsidP="00927670">
      <w:pPr>
        <w:pStyle w:val="NormalWeb"/>
        <w:spacing w:before="0" w:beforeAutospacing="0" w:after="0" w:afterAutospacing="0"/>
        <w:rPr>
          <w:rFonts w:ascii="Source Sans Pro" w:hAnsi="Source Sans Pro"/>
        </w:rPr>
      </w:pPr>
      <w:r w:rsidRPr="003D4B91">
        <w:rPr>
          <w:rFonts w:ascii="Source Sans Pro" w:hAnsi="Source Sans Pro" w:cs="Calibri"/>
          <w:b/>
          <w:bCs/>
          <w:color w:val="000000"/>
        </w:rPr>
        <w:t>About AICCU</w:t>
      </w:r>
    </w:p>
    <w:p w:rsidR="00927670" w:rsidRPr="00C77259" w:rsidRDefault="00927670" w:rsidP="00927670">
      <w:pPr>
        <w:pStyle w:val="NormalWeb"/>
        <w:spacing w:before="0" w:beforeAutospacing="0" w:after="0" w:afterAutospacing="0"/>
        <w:rPr>
          <w:rFonts w:ascii="Source Sans Pro" w:hAnsi="Source Sans Pro"/>
        </w:rPr>
      </w:pPr>
      <w:r w:rsidRPr="00C77259">
        <w:rPr>
          <w:rFonts w:ascii="Source Sans Pro" w:hAnsi="Source Sans Pro" w:cs="Calibri"/>
          <w:color w:val="000000"/>
        </w:rPr>
        <w:t xml:space="preserve">The Association of Independent California Colleges and Universities (AICCU) is comprised of 78 private nonprofit colleges and universities, which make up the Independent California Colleges and Universities (ICCU) sector. The ICCU sector plays a pivotal role in the development of the state's model higher education offerings and in making California a symbol of innovation across the globe. Within California, </w:t>
      </w:r>
      <w:r w:rsidR="00C77259" w:rsidRPr="00C77259">
        <w:rPr>
          <w:rFonts w:ascii="Source Sans Pro" w:hAnsi="Source Sans Pro" w:cs="Calibri"/>
          <w:color w:val="000000"/>
        </w:rPr>
        <w:t>ICCU institutions award over 20 percent</w:t>
      </w:r>
      <w:r w:rsidRPr="00C77259">
        <w:rPr>
          <w:rFonts w:ascii="Source Sans Pro" w:hAnsi="Source Sans Pro" w:cs="Calibri"/>
          <w:color w:val="000000"/>
        </w:rPr>
        <w:t xml:space="preserve"> of all un</w:t>
      </w:r>
      <w:r w:rsidR="00C77259" w:rsidRPr="00C77259">
        <w:rPr>
          <w:rFonts w:ascii="Source Sans Pro" w:hAnsi="Source Sans Pro" w:cs="Calibri"/>
          <w:color w:val="000000"/>
        </w:rPr>
        <w:t>dergraduate degrees and over 50 percent</w:t>
      </w:r>
      <w:r w:rsidRPr="00C77259">
        <w:rPr>
          <w:rFonts w:ascii="Source Sans Pro" w:hAnsi="Source Sans Pro" w:cs="Calibri"/>
          <w:color w:val="000000"/>
        </w:rPr>
        <w:t xml:space="preserve"> of graduate degrees, making them the largest preparers of California's advanced workforce.</w:t>
      </w:r>
    </w:p>
    <w:p w:rsidR="00E40FE9" w:rsidRPr="00C77259" w:rsidRDefault="00E40FE9" w:rsidP="005F07F0">
      <w:pPr>
        <w:rPr>
          <w:rFonts w:ascii="Source Sans Pro" w:hAnsi="Source Sans Pro"/>
        </w:rPr>
      </w:pPr>
    </w:p>
    <w:p w:rsidR="00E40FE9" w:rsidRDefault="00C77259">
      <w:pPr>
        <w:rPr>
          <w:rFonts w:ascii="Source Sans Pro" w:hAnsi="Source Sans Pro"/>
          <w:i/>
        </w:rPr>
      </w:pPr>
      <w:r w:rsidRPr="00C77259">
        <w:rPr>
          <w:rFonts w:ascii="Source Sans Pro" w:hAnsi="Source Sans Pro"/>
          <w:i/>
        </w:rPr>
        <w:t>The California Community Colleges is the largest system of higher education in the nation, composed of 72 districts and 114 colleges serving 2.1 million students per year. California community colleges provide career education and workforce training; guaranteed transfer to four-year universities; degree and certificate pathways; and basic skills education in English and math. As the state’s engine for social and economic mobility, the California Community Colleges supports the Vision for Success, a strategic plan designed to improve student success outcomes, increase transfer rates and eliminate achievement gaps. For more information, please visit the California Community Colleges website or follow us on Facebook and Twitter.</w:t>
      </w:r>
    </w:p>
    <w:p w:rsidR="00C77259" w:rsidRDefault="00C77259">
      <w:pPr>
        <w:rPr>
          <w:rFonts w:ascii="Source Sans Pro" w:hAnsi="Source Sans Pro"/>
          <w:i/>
        </w:rPr>
      </w:pPr>
    </w:p>
    <w:p w:rsidR="00C77259" w:rsidRPr="00C77259" w:rsidRDefault="00C77259" w:rsidP="00C77259">
      <w:pPr>
        <w:jc w:val="center"/>
        <w:rPr>
          <w:rFonts w:ascii="Source Sans Pro" w:hAnsi="Source Sans Pro"/>
        </w:rPr>
      </w:pPr>
      <w:r w:rsidRPr="00C77259">
        <w:rPr>
          <w:rFonts w:ascii="Source Sans Pro" w:hAnsi="Source Sans Pro"/>
        </w:rPr>
        <w:t>xxx</w:t>
      </w:r>
    </w:p>
    <w:sectPr w:rsidR="00C77259" w:rsidRPr="00C77259" w:rsidSect="00CD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226"/>
    <w:multiLevelType w:val="hybridMultilevel"/>
    <w:tmpl w:val="D90C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83E32"/>
    <w:multiLevelType w:val="multilevel"/>
    <w:tmpl w:val="8B62B7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70FE7"/>
    <w:multiLevelType w:val="hybridMultilevel"/>
    <w:tmpl w:val="6E9A690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96B1E"/>
    <w:multiLevelType w:val="hybridMultilevel"/>
    <w:tmpl w:val="679E7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46579C"/>
    <w:multiLevelType w:val="multilevel"/>
    <w:tmpl w:val="62A2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EF"/>
    <w:rsid w:val="000317B6"/>
    <w:rsid w:val="00060F26"/>
    <w:rsid w:val="000710CF"/>
    <w:rsid w:val="000C46FE"/>
    <w:rsid w:val="000D48E7"/>
    <w:rsid w:val="001260F0"/>
    <w:rsid w:val="0014413C"/>
    <w:rsid w:val="00176409"/>
    <w:rsid w:val="00182695"/>
    <w:rsid w:val="001F4173"/>
    <w:rsid w:val="00277BD1"/>
    <w:rsid w:val="0028265A"/>
    <w:rsid w:val="003038E1"/>
    <w:rsid w:val="0035722E"/>
    <w:rsid w:val="003A5944"/>
    <w:rsid w:val="003D4B91"/>
    <w:rsid w:val="00406C38"/>
    <w:rsid w:val="00417E1E"/>
    <w:rsid w:val="0048703E"/>
    <w:rsid w:val="0050017B"/>
    <w:rsid w:val="00535438"/>
    <w:rsid w:val="00562FF0"/>
    <w:rsid w:val="005F07F0"/>
    <w:rsid w:val="00604EEF"/>
    <w:rsid w:val="006053C1"/>
    <w:rsid w:val="00653997"/>
    <w:rsid w:val="00722A64"/>
    <w:rsid w:val="0079774C"/>
    <w:rsid w:val="007D1FB5"/>
    <w:rsid w:val="00800085"/>
    <w:rsid w:val="008200EA"/>
    <w:rsid w:val="00821A48"/>
    <w:rsid w:val="00830627"/>
    <w:rsid w:val="008A6631"/>
    <w:rsid w:val="008D2CD5"/>
    <w:rsid w:val="00927670"/>
    <w:rsid w:val="00927F65"/>
    <w:rsid w:val="00957E86"/>
    <w:rsid w:val="00974CC5"/>
    <w:rsid w:val="009A4B62"/>
    <w:rsid w:val="00A714C5"/>
    <w:rsid w:val="00AD154E"/>
    <w:rsid w:val="00AF3879"/>
    <w:rsid w:val="00B61728"/>
    <w:rsid w:val="00C77259"/>
    <w:rsid w:val="00C830AE"/>
    <w:rsid w:val="00CA3F37"/>
    <w:rsid w:val="00CD3AF0"/>
    <w:rsid w:val="00CE3BEF"/>
    <w:rsid w:val="00D1683E"/>
    <w:rsid w:val="00D72FDA"/>
    <w:rsid w:val="00DD08BB"/>
    <w:rsid w:val="00E033DE"/>
    <w:rsid w:val="00E1772E"/>
    <w:rsid w:val="00E36207"/>
    <w:rsid w:val="00E40FE9"/>
    <w:rsid w:val="00E60AA2"/>
    <w:rsid w:val="00F56E95"/>
    <w:rsid w:val="00F61763"/>
    <w:rsid w:val="00F776E0"/>
    <w:rsid w:val="00FD1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13EB9-0FCC-6240-B98F-159A4BA3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7F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0085"/>
    <w:rPr>
      <w:color w:val="0563C1" w:themeColor="hyperlink"/>
      <w:u w:val="single"/>
    </w:rPr>
  </w:style>
  <w:style w:type="character" w:customStyle="1" w:styleId="UnresolvedMention1">
    <w:name w:val="Unresolved Mention1"/>
    <w:basedOn w:val="DefaultParagraphFont"/>
    <w:uiPriority w:val="99"/>
    <w:rsid w:val="00800085"/>
    <w:rPr>
      <w:color w:val="605E5C"/>
      <w:shd w:val="clear" w:color="auto" w:fill="E1DFDD"/>
    </w:rPr>
  </w:style>
  <w:style w:type="paragraph" w:styleId="ListParagraph">
    <w:name w:val="List Paragraph"/>
    <w:basedOn w:val="Normal"/>
    <w:uiPriority w:val="34"/>
    <w:qFormat/>
    <w:rsid w:val="0014413C"/>
    <w:pPr>
      <w:ind w:left="720"/>
      <w:contextualSpacing/>
    </w:pPr>
  </w:style>
  <w:style w:type="paragraph" w:styleId="BalloonText">
    <w:name w:val="Balloon Text"/>
    <w:basedOn w:val="Normal"/>
    <w:link w:val="BalloonTextChar"/>
    <w:uiPriority w:val="99"/>
    <w:semiHidden/>
    <w:unhideWhenUsed/>
    <w:rsid w:val="00A714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14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725697">
      <w:bodyDiv w:val="1"/>
      <w:marLeft w:val="0"/>
      <w:marRight w:val="0"/>
      <w:marTop w:val="0"/>
      <w:marBottom w:val="0"/>
      <w:divBdr>
        <w:top w:val="none" w:sz="0" w:space="0" w:color="auto"/>
        <w:left w:val="none" w:sz="0" w:space="0" w:color="auto"/>
        <w:bottom w:val="none" w:sz="0" w:space="0" w:color="auto"/>
        <w:right w:val="none" w:sz="0" w:space="0" w:color="auto"/>
      </w:divBdr>
    </w:div>
    <w:div w:id="1209686296">
      <w:bodyDiv w:val="1"/>
      <w:marLeft w:val="0"/>
      <w:marRight w:val="0"/>
      <w:marTop w:val="0"/>
      <w:marBottom w:val="0"/>
      <w:divBdr>
        <w:top w:val="none" w:sz="0" w:space="0" w:color="auto"/>
        <w:left w:val="none" w:sz="0" w:space="0" w:color="auto"/>
        <w:bottom w:val="none" w:sz="0" w:space="0" w:color="auto"/>
        <w:right w:val="none" w:sz="0" w:space="0" w:color="auto"/>
      </w:divBdr>
    </w:div>
    <w:div w:id="1648052425">
      <w:bodyDiv w:val="1"/>
      <w:marLeft w:val="0"/>
      <w:marRight w:val="0"/>
      <w:marTop w:val="0"/>
      <w:marBottom w:val="0"/>
      <w:divBdr>
        <w:top w:val="none" w:sz="0" w:space="0" w:color="auto"/>
        <w:left w:val="none" w:sz="0" w:space="0" w:color="auto"/>
        <w:bottom w:val="none" w:sz="0" w:space="0" w:color="auto"/>
        <w:right w:val="none" w:sz="0" w:space="0" w:color="auto"/>
      </w:divBdr>
      <w:divsChild>
        <w:div w:id="1086682753">
          <w:marLeft w:val="0"/>
          <w:marRight w:val="0"/>
          <w:marTop w:val="0"/>
          <w:marBottom w:val="0"/>
          <w:divBdr>
            <w:top w:val="none" w:sz="0" w:space="0" w:color="auto"/>
            <w:left w:val="none" w:sz="0" w:space="0" w:color="auto"/>
            <w:bottom w:val="none" w:sz="0" w:space="0" w:color="auto"/>
            <w:right w:val="none" w:sz="0" w:space="0" w:color="auto"/>
          </w:divBdr>
          <w:divsChild>
            <w:div w:id="2118715204">
              <w:marLeft w:val="0"/>
              <w:marRight w:val="0"/>
              <w:marTop w:val="0"/>
              <w:marBottom w:val="0"/>
              <w:divBdr>
                <w:top w:val="none" w:sz="0" w:space="0" w:color="auto"/>
                <w:left w:val="none" w:sz="0" w:space="0" w:color="auto"/>
                <w:bottom w:val="none" w:sz="0" w:space="0" w:color="auto"/>
                <w:right w:val="none" w:sz="0" w:space="0" w:color="auto"/>
              </w:divBdr>
              <w:divsChild>
                <w:div w:id="437288328">
                  <w:marLeft w:val="0"/>
                  <w:marRight w:val="0"/>
                  <w:marTop w:val="0"/>
                  <w:marBottom w:val="0"/>
                  <w:divBdr>
                    <w:top w:val="none" w:sz="0" w:space="0" w:color="auto"/>
                    <w:left w:val="none" w:sz="0" w:space="0" w:color="auto"/>
                    <w:bottom w:val="none" w:sz="0" w:space="0" w:color="auto"/>
                    <w:right w:val="none" w:sz="0" w:space="0" w:color="auto"/>
                  </w:divBdr>
                  <w:divsChild>
                    <w:div w:id="1960644963">
                      <w:marLeft w:val="0"/>
                      <w:marRight w:val="0"/>
                      <w:marTop w:val="0"/>
                      <w:marBottom w:val="0"/>
                      <w:divBdr>
                        <w:top w:val="none" w:sz="0" w:space="0" w:color="auto"/>
                        <w:left w:val="none" w:sz="0" w:space="0" w:color="auto"/>
                        <w:bottom w:val="none" w:sz="0" w:space="0" w:color="auto"/>
                        <w:right w:val="none" w:sz="0" w:space="0" w:color="auto"/>
                      </w:divBdr>
                    </w:div>
                  </w:divsChild>
                </w:div>
                <w:div w:id="2133936160">
                  <w:marLeft w:val="0"/>
                  <w:marRight w:val="0"/>
                  <w:marTop w:val="0"/>
                  <w:marBottom w:val="0"/>
                  <w:divBdr>
                    <w:top w:val="none" w:sz="0" w:space="0" w:color="auto"/>
                    <w:left w:val="none" w:sz="0" w:space="0" w:color="auto"/>
                    <w:bottom w:val="none" w:sz="0" w:space="0" w:color="auto"/>
                    <w:right w:val="none" w:sz="0" w:space="0" w:color="auto"/>
                  </w:divBdr>
                  <w:divsChild>
                    <w:div w:id="1921018744">
                      <w:marLeft w:val="0"/>
                      <w:marRight w:val="0"/>
                      <w:marTop w:val="0"/>
                      <w:marBottom w:val="0"/>
                      <w:divBdr>
                        <w:top w:val="none" w:sz="0" w:space="0" w:color="auto"/>
                        <w:left w:val="none" w:sz="0" w:space="0" w:color="auto"/>
                        <w:bottom w:val="none" w:sz="0" w:space="0" w:color="auto"/>
                        <w:right w:val="none" w:sz="0" w:space="0" w:color="auto"/>
                      </w:divBdr>
                    </w:div>
                  </w:divsChild>
                </w:div>
                <w:div w:id="940451226">
                  <w:marLeft w:val="0"/>
                  <w:marRight w:val="0"/>
                  <w:marTop w:val="0"/>
                  <w:marBottom w:val="0"/>
                  <w:divBdr>
                    <w:top w:val="none" w:sz="0" w:space="0" w:color="auto"/>
                    <w:left w:val="none" w:sz="0" w:space="0" w:color="auto"/>
                    <w:bottom w:val="none" w:sz="0" w:space="0" w:color="auto"/>
                    <w:right w:val="none" w:sz="0" w:space="0" w:color="auto"/>
                  </w:divBdr>
                  <w:divsChild>
                    <w:div w:id="419177377">
                      <w:marLeft w:val="0"/>
                      <w:marRight w:val="0"/>
                      <w:marTop w:val="0"/>
                      <w:marBottom w:val="0"/>
                      <w:divBdr>
                        <w:top w:val="none" w:sz="0" w:space="0" w:color="auto"/>
                        <w:left w:val="none" w:sz="0" w:space="0" w:color="auto"/>
                        <w:bottom w:val="none" w:sz="0" w:space="0" w:color="auto"/>
                        <w:right w:val="none" w:sz="0" w:space="0" w:color="auto"/>
                      </w:divBdr>
                    </w:div>
                    <w:div w:id="1519352358">
                      <w:marLeft w:val="0"/>
                      <w:marRight w:val="0"/>
                      <w:marTop w:val="0"/>
                      <w:marBottom w:val="0"/>
                      <w:divBdr>
                        <w:top w:val="none" w:sz="0" w:space="0" w:color="auto"/>
                        <w:left w:val="none" w:sz="0" w:space="0" w:color="auto"/>
                        <w:bottom w:val="none" w:sz="0" w:space="0" w:color="auto"/>
                        <w:right w:val="none" w:sz="0" w:space="0" w:color="auto"/>
                      </w:divBdr>
                    </w:div>
                  </w:divsChild>
                </w:div>
                <w:div w:id="556207335">
                  <w:marLeft w:val="0"/>
                  <w:marRight w:val="0"/>
                  <w:marTop w:val="0"/>
                  <w:marBottom w:val="0"/>
                  <w:divBdr>
                    <w:top w:val="none" w:sz="0" w:space="0" w:color="auto"/>
                    <w:left w:val="none" w:sz="0" w:space="0" w:color="auto"/>
                    <w:bottom w:val="none" w:sz="0" w:space="0" w:color="auto"/>
                    <w:right w:val="none" w:sz="0" w:space="0" w:color="auto"/>
                  </w:divBdr>
                  <w:divsChild>
                    <w:div w:id="8912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ccu.edu/" TargetMode="External"/><Relationship Id="rId3" Type="http://schemas.openxmlformats.org/officeDocument/2006/relationships/settings" Target="settings.xml"/><Relationship Id="rId7" Type="http://schemas.openxmlformats.org/officeDocument/2006/relationships/hyperlink" Target="https://extranet.cccco.edu/Portals/1/ExecutiveOffice/Board/2018_agendas/July/2.2-MOU-AICC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imenez@cccco.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undationccc.org/Portals/0/Documents/Vision/VisionForSuccess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ogul</dc:creator>
  <cp:keywords/>
  <dc:description/>
  <cp:lastModifiedBy>Sharon Sampson</cp:lastModifiedBy>
  <cp:revision>2</cp:revision>
  <cp:lastPrinted>2018-07-09T04:25:00Z</cp:lastPrinted>
  <dcterms:created xsi:type="dcterms:W3CDTF">2025-09-02T18:51:00Z</dcterms:created>
  <dcterms:modified xsi:type="dcterms:W3CDTF">2025-09-02T18:51:00Z</dcterms:modified>
</cp:coreProperties>
</file>