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23869" w14:textId="77777777" w:rsidR="008558C6" w:rsidRDefault="00000000">
      <w:pPr>
        <w:pStyle w:val="Heading1"/>
        <w:keepNext w:val="0"/>
        <w:keepLines w:val="0"/>
        <w:numPr>
          <w:ilvl w:val="0"/>
          <w:numId w:val="2"/>
        </w:numPr>
        <w:tabs>
          <w:tab w:val="left" w:pos="459"/>
        </w:tabs>
        <w:spacing w:before="20" w:after="0"/>
        <w:ind w:left="459" w:hanging="359"/>
        <w:rPr>
          <w:rFonts w:ascii="Carlito" w:eastAsia="Carlito" w:hAnsi="Carlito" w:cs="Carlito"/>
          <w:b/>
          <w:color w:val="000000"/>
          <w:sz w:val="28"/>
          <w:szCs w:val="28"/>
        </w:rPr>
      </w:pPr>
      <w:r>
        <w:rPr>
          <w:rFonts w:ascii="Carlito" w:eastAsia="Carlito" w:hAnsi="Carlito" w:cs="Carlito"/>
          <w:b/>
          <w:color w:val="000000"/>
          <w:sz w:val="28"/>
          <w:szCs w:val="28"/>
        </w:rPr>
        <w:t>Institutional Self-Evaluation of Alignment with Accreditation Standards</w:t>
      </w:r>
    </w:p>
    <w:p w14:paraId="2CBAF70D" w14:textId="77777777" w:rsidR="008558C6" w:rsidRDefault="00000000">
      <w:pPr>
        <w:pStyle w:val="Heading1"/>
        <w:keepNext w:val="0"/>
        <w:keepLines w:val="0"/>
        <w:spacing w:before="309" w:after="0" w:line="341" w:lineRule="auto"/>
        <w:ind w:left="100"/>
        <w:rPr>
          <w:rFonts w:ascii="Carlito" w:eastAsia="Carlito" w:hAnsi="Carlito" w:cs="Carlito"/>
          <w:b/>
          <w:color w:val="000000"/>
          <w:sz w:val="28"/>
          <w:szCs w:val="28"/>
        </w:rPr>
      </w:pPr>
      <w:r>
        <w:rPr>
          <w:rFonts w:ascii="Carlito" w:eastAsia="Carlito" w:hAnsi="Carlito" w:cs="Carlito"/>
          <w:b/>
          <w:color w:val="000000"/>
          <w:sz w:val="28"/>
          <w:szCs w:val="28"/>
        </w:rPr>
        <w:t>Standard 4: Governance and Decision-Making</w:t>
      </w:r>
    </w:p>
    <w:p w14:paraId="1BA47E93" w14:textId="77777777" w:rsidR="008558C6" w:rsidRDefault="00000000">
      <w:pPr>
        <w:ind w:left="100" w:right="1052"/>
        <w:rPr>
          <w:b/>
          <w:i/>
        </w:rPr>
      </w:pPr>
      <w:r>
        <w:rPr>
          <w:b/>
          <w:i/>
        </w:rPr>
        <w:t>The institution engages in clear and effective governance practices that support the achievement of its mission. Governance roles and responsibilities are delineated in widely distributed policies, and institutional decision-making processes provide opportunities for meaningful participation and inclusion of relevant stakeholders.</w:t>
      </w:r>
    </w:p>
    <w:p w14:paraId="10988082" w14:textId="77777777" w:rsidR="008558C6" w:rsidRDefault="008558C6">
      <w:pPr>
        <w:pBdr>
          <w:top w:val="nil"/>
          <w:left w:val="nil"/>
          <w:bottom w:val="nil"/>
          <w:right w:val="nil"/>
          <w:between w:val="nil"/>
        </w:pBdr>
        <w:rPr>
          <w:b/>
          <w:i/>
          <w:color w:val="000000"/>
        </w:rPr>
      </w:pPr>
    </w:p>
    <w:p w14:paraId="4586AA0F" w14:textId="77777777" w:rsidR="008558C6" w:rsidRDefault="00000000">
      <w:pPr>
        <w:pStyle w:val="Heading2"/>
        <w:numPr>
          <w:ilvl w:val="1"/>
          <w:numId w:val="1"/>
        </w:numPr>
        <w:spacing w:before="1" w:after="0" w:line="259" w:lineRule="auto"/>
        <w:ind w:left="634" w:right="994" w:hanging="533"/>
        <w:rPr>
          <w:rFonts w:ascii="Carlito" w:eastAsia="Carlito" w:hAnsi="Carlito" w:cs="Carlito"/>
          <w:b/>
          <w:color w:val="000000"/>
          <w:sz w:val="22"/>
          <w:szCs w:val="22"/>
        </w:rPr>
      </w:pPr>
      <w:r>
        <w:rPr>
          <w:rFonts w:ascii="Carlito" w:eastAsia="Carlito" w:hAnsi="Carlito" w:cs="Carlito"/>
          <w:b/>
          <w:color w:val="000000"/>
          <w:sz w:val="22"/>
          <w:szCs w:val="22"/>
        </w:rPr>
        <w:t xml:space="preserve">The institution upholds an explicit commitment to principles of academic freedom, academic integrity, and freedom of inquiry. (ER 13) </w:t>
      </w:r>
    </w:p>
    <w:p w14:paraId="5A36C914" w14:textId="77777777" w:rsidR="008558C6" w:rsidRDefault="008558C6">
      <w:pPr>
        <w:pBdr>
          <w:top w:val="nil"/>
          <w:left w:val="nil"/>
          <w:bottom w:val="nil"/>
          <w:right w:val="nil"/>
          <w:between w:val="nil"/>
        </w:pBdr>
        <w:ind w:left="101" w:right="907"/>
        <w:rPr>
          <w:b/>
          <w:color w:val="007E5D"/>
          <w:sz w:val="24"/>
          <w:szCs w:val="24"/>
        </w:rPr>
      </w:pPr>
    </w:p>
    <w:p w14:paraId="02CCF6FC"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Commitment to Academic Freedom</w:t>
      </w:r>
    </w:p>
    <w:p w14:paraId="0C2BD88C" w14:textId="77777777" w:rsidR="008558C6" w:rsidRDefault="00000000">
      <w:pPr>
        <w:pBdr>
          <w:top w:val="nil"/>
          <w:left w:val="nil"/>
          <w:bottom w:val="nil"/>
          <w:right w:val="nil"/>
          <w:between w:val="nil"/>
        </w:pBdr>
        <w:spacing w:before="1"/>
        <w:ind w:left="101" w:right="1051"/>
        <w:rPr>
          <w:color w:val="000000"/>
        </w:rPr>
      </w:pPr>
      <w:r>
        <w:rPr>
          <w:color w:val="000000"/>
        </w:rPr>
        <w:t>Grossmont College upholds the sanctity of academic freedom, as enshrined in several key policies and outlined comprehensively in the Academic Freedom Board Policy (</w:t>
      </w:r>
      <w:hyperlink r:id="rId8">
        <w:r w:rsidR="008558C6">
          <w:rPr>
            <w:color w:val="0563C1"/>
            <w:u w:val="single"/>
          </w:rPr>
          <w:t>BP 4030</w:t>
        </w:r>
      </w:hyperlink>
      <w:r>
        <w:rPr>
          <w:color w:val="000000"/>
        </w:rPr>
        <w:t>). This policy champions academic freedom as fundamental to protecting the rights of instructors in their teaching roles and students in their learning journeys. It advocates for instructors' liberty to explore all aspects of their subjects, including controversial issues, with the stipulation that such discussions should be relevant to the course content. This commitment extends to faculty conduct outside of the classroom, where faculty members are reminded to exercise their speech rights responsibly, given their position within the community and their potential impact on the institution’s reputation.</w:t>
      </w:r>
    </w:p>
    <w:p w14:paraId="091F32C7" w14:textId="77777777" w:rsidR="008558C6" w:rsidRDefault="008558C6">
      <w:pPr>
        <w:pBdr>
          <w:top w:val="nil"/>
          <w:left w:val="nil"/>
          <w:bottom w:val="nil"/>
          <w:right w:val="nil"/>
          <w:between w:val="nil"/>
        </w:pBdr>
        <w:spacing w:before="1"/>
        <w:ind w:left="101" w:right="1051"/>
        <w:rPr>
          <w:color w:val="000000"/>
        </w:rPr>
      </w:pPr>
    </w:p>
    <w:p w14:paraId="0CEBC471" w14:textId="77777777" w:rsidR="008558C6" w:rsidRDefault="00000000">
      <w:pPr>
        <w:pBdr>
          <w:top w:val="nil"/>
          <w:left w:val="nil"/>
          <w:bottom w:val="nil"/>
          <w:right w:val="nil"/>
          <w:between w:val="nil"/>
        </w:pBdr>
        <w:spacing w:before="1"/>
        <w:ind w:left="101" w:right="1051"/>
        <w:rPr>
          <w:color w:val="000000"/>
        </w:rPr>
      </w:pPr>
      <w:r>
        <w:rPr>
          <w:color w:val="000000"/>
        </w:rPr>
        <w:t>Further supporting these principles, the Board Policies and Procedures on Political Activity (</w:t>
      </w:r>
      <w:hyperlink r:id="rId9">
        <w:r w:rsidR="008558C6">
          <w:rPr>
            <w:color w:val="0563C1"/>
            <w:u w:val="single"/>
          </w:rPr>
          <w:t>BP 3905</w:t>
        </w:r>
      </w:hyperlink>
      <w:r>
        <w:rPr>
          <w:color w:val="000000"/>
        </w:rPr>
        <w:t xml:space="preserve">, </w:t>
      </w:r>
      <w:hyperlink r:id="rId10">
        <w:r w:rsidR="008558C6">
          <w:rPr>
            <w:color w:val="0563C1"/>
            <w:u w:val="single"/>
          </w:rPr>
          <w:t>AP 3905</w:t>
        </w:r>
      </w:hyperlink>
      <w:r>
        <w:rPr>
          <w:color w:val="000000"/>
        </w:rPr>
        <w:t>) and Controversial Issues (</w:t>
      </w:r>
      <w:hyperlink r:id="rId11">
        <w:r w:rsidR="008558C6">
          <w:rPr>
            <w:color w:val="0563C1"/>
            <w:u w:val="single"/>
          </w:rPr>
          <w:t>BP 4035</w:t>
        </w:r>
      </w:hyperlink>
      <w:r>
        <w:rPr>
          <w:color w:val="000000"/>
        </w:rPr>
        <w:t>) are integral to defining the scope of academic freedom at the college. These policies ensure that political expressions and discussions on controversial issues are conducted in ways that respect free academic inquiry and the diverse opinions of all community members.</w:t>
      </w:r>
    </w:p>
    <w:p w14:paraId="4BDBEA8F" w14:textId="77777777" w:rsidR="008558C6" w:rsidRDefault="008558C6">
      <w:pPr>
        <w:pBdr>
          <w:top w:val="nil"/>
          <w:left w:val="nil"/>
          <w:bottom w:val="nil"/>
          <w:right w:val="nil"/>
          <w:between w:val="nil"/>
        </w:pBdr>
        <w:spacing w:before="1"/>
        <w:ind w:left="101" w:right="1051"/>
        <w:rPr>
          <w:color w:val="000000"/>
        </w:rPr>
      </w:pPr>
    </w:p>
    <w:p w14:paraId="4EC25C23" w14:textId="77777777" w:rsidR="008558C6" w:rsidRDefault="00000000">
      <w:pPr>
        <w:pBdr>
          <w:top w:val="nil"/>
          <w:left w:val="nil"/>
          <w:bottom w:val="nil"/>
          <w:right w:val="nil"/>
          <w:between w:val="nil"/>
        </w:pBdr>
        <w:spacing w:before="1"/>
        <w:ind w:left="101" w:right="1051"/>
        <w:rPr>
          <w:color w:val="000000"/>
        </w:rPr>
      </w:pPr>
      <w:r>
        <w:rPr>
          <w:color w:val="000000"/>
        </w:rPr>
        <w:t xml:space="preserve">The </w:t>
      </w:r>
      <w:hyperlink r:id="rId12">
        <w:r w:rsidR="008558C6">
          <w:rPr>
            <w:color w:val="0563C1"/>
            <w:u w:val="single"/>
          </w:rPr>
          <w:t>Faculty Contract</w:t>
        </w:r>
      </w:hyperlink>
      <w:r>
        <w:rPr>
          <w:color w:val="000000"/>
        </w:rPr>
        <w:t xml:space="preserve"> appropriately supports these ideals in Section 2.5, outlining the district's commitment to an academic environment that values freedom of expression as vital to educational excellence. This section emphasizes that academic freedom facilitates a culture of open, critical inquiry and is essential for effective teaching and learning.</w:t>
      </w:r>
    </w:p>
    <w:p w14:paraId="1155805C" w14:textId="77777777" w:rsidR="008558C6" w:rsidRDefault="008558C6">
      <w:pPr>
        <w:pBdr>
          <w:top w:val="nil"/>
          <w:left w:val="nil"/>
          <w:bottom w:val="nil"/>
          <w:right w:val="nil"/>
          <w:between w:val="nil"/>
        </w:pBdr>
        <w:spacing w:before="1"/>
        <w:ind w:left="101" w:right="1051"/>
        <w:rPr>
          <w:color w:val="000000"/>
        </w:rPr>
      </w:pPr>
    </w:p>
    <w:p w14:paraId="182A1481" w14:textId="77777777" w:rsidR="008558C6" w:rsidRDefault="00000000">
      <w:pPr>
        <w:pBdr>
          <w:top w:val="nil"/>
          <w:left w:val="nil"/>
          <w:bottom w:val="nil"/>
          <w:right w:val="nil"/>
          <w:between w:val="nil"/>
        </w:pBdr>
        <w:spacing w:before="1"/>
        <w:ind w:left="101" w:right="1051"/>
        <w:rPr>
          <w:color w:val="000000"/>
        </w:rPr>
      </w:pPr>
      <w:r>
        <w:rPr>
          <w:color w:val="000000"/>
        </w:rPr>
        <w:t xml:space="preserve">Grossmont also publishes this policy in the class schedules, which serves as another platform for communicating the nuances of academic freedom to the college community. For example, the </w:t>
      </w:r>
      <w:hyperlink r:id="rId13">
        <w:r w:rsidR="008558C6">
          <w:rPr>
            <w:color w:val="0563C1"/>
            <w:u w:val="single"/>
          </w:rPr>
          <w:t>Spring 2024 class schedule</w:t>
        </w:r>
      </w:hyperlink>
      <w:r>
        <w:rPr>
          <w:color w:val="000000"/>
        </w:rPr>
        <w:t xml:space="preserve"> includes the Governing Board's commitment to academic freedom, clarifying that this freedom includes fostering an environment where challenging ideas can be explored safely and respectfully without leading to discrimination or harassment.</w:t>
      </w:r>
    </w:p>
    <w:p w14:paraId="21614C7E" w14:textId="77777777" w:rsidR="008558C6" w:rsidRDefault="008558C6">
      <w:pPr>
        <w:pBdr>
          <w:top w:val="nil"/>
          <w:left w:val="nil"/>
          <w:bottom w:val="nil"/>
          <w:right w:val="nil"/>
          <w:between w:val="nil"/>
        </w:pBdr>
        <w:ind w:left="101" w:right="1051"/>
        <w:rPr>
          <w:color w:val="000000"/>
        </w:rPr>
      </w:pPr>
    </w:p>
    <w:p w14:paraId="2CC03705"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Academic Integrity Guidelines</w:t>
      </w:r>
    </w:p>
    <w:p w14:paraId="650B8BF6" w14:textId="77777777" w:rsidR="008558C6" w:rsidRDefault="00000000">
      <w:pPr>
        <w:pBdr>
          <w:top w:val="nil"/>
          <w:left w:val="nil"/>
          <w:bottom w:val="nil"/>
          <w:right w:val="nil"/>
          <w:between w:val="nil"/>
        </w:pBdr>
        <w:ind w:left="101" w:right="1051"/>
        <w:rPr>
          <w:color w:val="000000"/>
        </w:rPr>
      </w:pPr>
      <w:r>
        <w:rPr>
          <w:color w:val="000000"/>
        </w:rPr>
        <w:t xml:space="preserve">Academic integrity is a cornerstone of educational excellence at Grossmont, as detailed in the college’s </w:t>
      </w:r>
      <w:hyperlink r:id="rId14" w:anchor="text">
        <w:r w:rsidR="008558C6">
          <w:rPr>
            <w:color w:val="0563C1"/>
            <w:u w:val="single"/>
          </w:rPr>
          <w:t>Academic Catalog</w:t>
        </w:r>
      </w:hyperlink>
      <w:r>
        <w:rPr>
          <w:color w:val="000000"/>
        </w:rPr>
        <w:t xml:space="preserve">. The Academic Policies section of the catalog defines academic integrity, explicitly addressing impermissible actions such as cheating and plagiarism and their potential ramifications. It sets clear expectations for behavior in academic settings, mandating that faculty communicate these standards at the start of </w:t>
      </w:r>
      <w:r>
        <w:rPr>
          <w:color w:val="000000"/>
        </w:rPr>
        <w:lastRenderedPageBreak/>
        <w:t xml:space="preserve">each course and that students understand and adhere to these principles. </w:t>
      </w:r>
    </w:p>
    <w:p w14:paraId="070551B5" w14:textId="77777777" w:rsidR="008558C6" w:rsidRDefault="008558C6">
      <w:pPr>
        <w:pBdr>
          <w:top w:val="nil"/>
          <w:left w:val="nil"/>
          <w:bottom w:val="nil"/>
          <w:right w:val="nil"/>
          <w:between w:val="nil"/>
        </w:pBdr>
        <w:ind w:left="101" w:right="1051"/>
        <w:rPr>
          <w:color w:val="000000"/>
        </w:rPr>
      </w:pPr>
    </w:p>
    <w:p w14:paraId="721C5176" w14:textId="77777777" w:rsidR="008558C6" w:rsidRDefault="00000000">
      <w:pPr>
        <w:pBdr>
          <w:top w:val="nil"/>
          <w:left w:val="nil"/>
          <w:bottom w:val="nil"/>
          <w:right w:val="nil"/>
          <w:between w:val="nil"/>
        </w:pBdr>
        <w:ind w:left="101" w:right="1051"/>
        <w:rPr>
          <w:color w:val="000000"/>
        </w:rPr>
      </w:pPr>
      <w:r>
        <w:rPr>
          <w:color w:val="000000"/>
        </w:rPr>
        <w:t xml:space="preserve">This policy is reinforced through various college communications, including the </w:t>
      </w:r>
      <w:sdt>
        <w:sdtPr>
          <w:tag w:val="goog_rdk_0"/>
          <w:id w:val="-233319280"/>
        </w:sdtPr>
        <w:sdtContent/>
      </w:sdt>
      <w:r>
        <w:rPr>
          <w:color w:val="000000"/>
        </w:rPr>
        <w:t xml:space="preserve">Full-Time Faculty Handbook, </w:t>
      </w:r>
      <w:hyperlink r:id="rId15">
        <w:r w:rsidR="008558C6">
          <w:rPr>
            <w:color w:val="0563C1"/>
            <w:u w:val="single"/>
          </w:rPr>
          <w:t>Part-Time Faculty Handbook</w:t>
        </w:r>
      </w:hyperlink>
      <w:r>
        <w:rPr>
          <w:color w:val="000000"/>
        </w:rPr>
        <w:t xml:space="preserve">, the </w:t>
      </w:r>
      <w:hyperlink r:id="rId16">
        <w:r w:rsidR="008558C6">
          <w:rPr>
            <w:color w:val="0563C1"/>
            <w:u w:val="single"/>
          </w:rPr>
          <w:t>Student Rights and Responsibilities</w:t>
        </w:r>
      </w:hyperlink>
      <w:r>
        <w:rPr>
          <w:color w:val="000000"/>
        </w:rPr>
        <w:t xml:space="preserve"> website, class schedules (see example </w:t>
      </w:r>
      <w:hyperlink r:id="rId17">
        <w:r w:rsidR="008558C6">
          <w:rPr>
            <w:color w:val="0563C1"/>
            <w:u w:val="single"/>
          </w:rPr>
          <w:t>Spring 2024 Schedule</w:t>
        </w:r>
      </w:hyperlink>
      <w:r>
        <w:rPr>
          <w:color w:val="000000"/>
        </w:rPr>
        <w:t xml:space="preserve">, page 112), course syllabi (see </w:t>
      </w:r>
      <w:hyperlink r:id="rId18">
        <w:r w:rsidR="008558C6">
          <w:rPr>
            <w:color w:val="0563C1"/>
            <w:u w:val="single"/>
          </w:rPr>
          <w:t>example extract from syllabus</w:t>
        </w:r>
      </w:hyperlink>
      <w:r>
        <w:rPr>
          <w:color w:val="000000"/>
        </w:rPr>
        <w:t xml:space="preserve">), and Canvas in the </w:t>
      </w:r>
      <w:hyperlink r:id="rId19">
        <w:r w:rsidR="008558C6">
          <w:rPr>
            <w:color w:val="0563C1"/>
            <w:u w:val="single"/>
          </w:rPr>
          <w:t>Distance Education policies and procedures</w:t>
        </w:r>
      </w:hyperlink>
      <w:r>
        <w:rPr>
          <w:color w:val="000000"/>
        </w:rPr>
        <w:t xml:space="preserve">, ensuring comprehensive dissemination of these standards across the college community. In addition, there is a sample </w:t>
      </w:r>
      <w:hyperlink r:id="rId20">
        <w:r w:rsidR="008558C6">
          <w:rPr>
            <w:color w:val="0563C1"/>
            <w:u w:val="single"/>
          </w:rPr>
          <w:t>guidance for faculty</w:t>
        </w:r>
      </w:hyperlink>
      <w:r>
        <w:rPr>
          <w:color w:val="000000"/>
        </w:rPr>
        <w:t xml:space="preserve"> communication, instructing them to include Academic Integrity policy language when creating their course syllabi.</w:t>
      </w:r>
    </w:p>
    <w:p w14:paraId="436E0B5C" w14:textId="77777777" w:rsidR="008558C6" w:rsidRDefault="008558C6">
      <w:pPr>
        <w:pBdr>
          <w:top w:val="nil"/>
          <w:left w:val="nil"/>
          <w:bottom w:val="nil"/>
          <w:right w:val="nil"/>
          <w:between w:val="nil"/>
        </w:pBdr>
        <w:ind w:left="101" w:right="1051"/>
        <w:rPr>
          <w:color w:val="000000"/>
        </w:rPr>
      </w:pPr>
    </w:p>
    <w:p w14:paraId="6FB6AD0C" w14:textId="77777777" w:rsidR="008558C6" w:rsidRDefault="00000000">
      <w:pPr>
        <w:pBdr>
          <w:top w:val="nil"/>
          <w:left w:val="nil"/>
          <w:bottom w:val="nil"/>
          <w:right w:val="nil"/>
          <w:between w:val="nil"/>
        </w:pBdr>
        <w:ind w:left="101" w:right="1051"/>
        <w:rPr>
          <w:color w:val="000000"/>
        </w:rPr>
      </w:pPr>
      <w:r>
        <w:rPr>
          <w:color w:val="000000"/>
        </w:rPr>
        <w:t xml:space="preserve">Specific consequences for violations of academic integrity, ranging from failing assignments to potential suspension or expulsion, are outlined in the </w:t>
      </w:r>
      <w:hyperlink r:id="rId21">
        <w:r w:rsidR="008558C6">
          <w:rPr>
            <w:color w:val="0563C1"/>
            <w:u w:val="single"/>
          </w:rPr>
          <w:t>Student Conduct Handbook</w:t>
        </w:r>
      </w:hyperlink>
      <w:r>
        <w:rPr>
          <w:color w:val="000000"/>
        </w:rPr>
        <w:t>, providing a clear framework for enforcement. Student conduct policies are built on the foundation provided by the board policies and procedures regarding Standards of Student Conduct (</w:t>
      </w:r>
      <w:hyperlink r:id="rId22">
        <w:r w:rsidR="008558C6">
          <w:rPr>
            <w:color w:val="0563C1"/>
            <w:u w:val="single"/>
          </w:rPr>
          <w:t>BP 5500</w:t>
        </w:r>
      </w:hyperlink>
      <w:r>
        <w:rPr>
          <w:color w:val="000000"/>
        </w:rPr>
        <w:t xml:space="preserve">, </w:t>
      </w:r>
      <w:hyperlink r:id="rId23">
        <w:r w:rsidR="008558C6">
          <w:rPr>
            <w:color w:val="0563C1"/>
            <w:u w:val="single"/>
          </w:rPr>
          <w:t>AP 5500</w:t>
        </w:r>
      </w:hyperlink>
      <w:r>
        <w:rPr>
          <w:color w:val="000000"/>
        </w:rPr>
        <w:t>), which address student conduct and the disciplinary actions related to breaches of academic integrity. These policies ensure that all members of the college community are held to consistent and high standards in their academic endeavors, promoting a culture of integrity and respect that aligns with the college’s mission and educational goals.</w:t>
      </w:r>
    </w:p>
    <w:p w14:paraId="4E19A363" w14:textId="77777777" w:rsidR="008558C6" w:rsidRDefault="008558C6">
      <w:pPr>
        <w:pBdr>
          <w:top w:val="nil"/>
          <w:left w:val="nil"/>
          <w:bottom w:val="nil"/>
          <w:right w:val="nil"/>
          <w:between w:val="nil"/>
        </w:pBdr>
        <w:ind w:left="101" w:right="1051"/>
        <w:rPr>
          <w:color w:val="000000"/>
        </w:rPr>
      </w:pPr>
    </w:p>
    <w:p w14:paraId="489DFAE2" w14:textId="77777777" w:rsidR="008558C6" w:rsidRDefault="00000000">
      <w:pPr>
        <w:pBdr>
          <w:top w:val="nil"/>
          <w:left w:val="nil"/>
          <w:bottom w:val="nil"/>
          <w:right w:val="nil"/>
          <w:between w:val="nil"/>
        </w:pBdr>
        <w:ind w:left="101" w:right="1080"/>
        <w:rPr>
          <w:color w:val="000000"/>
        </w:rPr>
      </w:pPr>
      <w:r>
        <w:rPr>
          <w:color w:val="000000"/>
        </w:rPr>
        <w:t>These detailed policies and procedures underscore Grossmont’s commitment to fostering an environment that supports academic freedom and academic integrity and ensures that the institution provides a respectful and rigorous academic experience.</w:t>
      </w:r>
    </w:p>
    <w:p w14:paraId="6FAE9BD9" w14:textId="77777777" w:rsidR="008558C6" w:rsidRDefault="008558C6">
      <w:pPr>
        <w:pBdr>
          <w:top w:val="nil"/>
          <w:left w:val="nil"/>
          <w:bottom w:val="nil"/>
          <w:right w:val="nil"/>
          <w:between w:val="nil"/>
        </w:pBdr>
        <w:ind w:left="101" w:right="1080"/>
        <w:rPr>
          <w:color w:val="000000"/>
        </w:rPr>
      </w:pPr>
    </w:p>
    <w:p w14:paraId="189DB551" w14:textId="77777777" w:rsidR="008558C6" w:rsidRDefault="00000000">
      <w:pPr>
        <w:pStyle w:val="Heading2"/>
        <w:numPr>
          <w:ilvl w:val="1"/>
          <w:numId w:val="1"/>
        </w:numPr>
        <w:spacing w:before="1" w:after="0" w:line="259" w:lineRule="auto"/>
        <w:ind w:left="634" w:right="994" w:hanging="533"/>
        <w:rPr>
          <w:rFonts w:ascii="Carlito" w:eastAsia="Carlito" w:hAnsi="Carlito" w:cs="Carlito"/>
          <w:b/>
          <w:color w:val="000000"/>
          <w:sz w:val="22"/>
          <w:szCs w:val="22"/>
        </w:rPr>
      </w:pPr>
      <w:r>
        <w:rPr>
          <w:rFonts w:ascii="Carlito" w:eastAsia="Carlito" w:hAnsi="Carlito" w:cs="Carlito"/>
          <w:b/>
          <w:color w:val="000000"/>
          <w:sz w:val="22"/>
          <w:szCs w:val="22"/>
        </w:rPr>
        <w:t>Roles, responsibilities, and authority for decision-making are clearly defined and communicated throughout the institution. Institutional decision-making processes provide opportunities for the inclusion and participation of stakeholders, as appropriate to the institution’s character.</w:t>
      </w:r>
    </w:p>
    <w:p w14:paraId="7541A409" w14:textId="77777777" w:rsidR="008558C6" w:rsidRDefault="008558C6">
      <w:pPr>
        <w:pBdr>
          <w:top w:val="nil"/>
          <w:left w:val="nil"/>
          <w:bottom w:val="nil"/>
          <w:right w:val="nil"/>
          <w:between w:val="nil"/>
        </w:pBdr>
        <w:ind w:left="101" w:right="1051"/>
        <w:rPr>
          <w:b/>
          <w:color w:val="007E5D"/>
          <w:sz w:val="24"/>
          <w:szCs w:val="24"/>
        </w:rPr>
      </w:pPr>
    </w:p>
    <w:p w14:paraId="723EF5A3"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Governance Structure and Participatory Decision-Making</w:t>
      </w:r>
    </w:p>
    <w:p w14:paraId="74625E88" w14:textId="77777777" w:rsidR="008558C6" w:rsidRDefault="00000000">
      <w:pPr>
        <w:pBdr>
          <w:top w:val="nil"/>
          <w:left w:val="nil"/>
          <w:bottom w:val="nil"/>
          <w:right w:val="nil"/>
          <w:between w:val="nil"/>
        </w:pBdr>
        <w:ind w:left="100" w:right="1000"/>
        <w:rPr>
          <w:color w:val="000000"/>
        </w:rPr>
      </w:pPr>
      <w:r>
        <w:rPr>
          <w:color w:val="000000"/>
        </w:rPr>
        <w:t>At Grossmont, the governance framework is defined primarily through the board policies and procedures regarding Participation in Local Decision-Making (</w:t>
      </w:r>
      <w:hyperlink r:id="rId24">
        <w:r w:rsidR="008558C6">
          <w:rPr>
            <w:color w:val="0563C1"/>
            <w:u w:val="single"/>
          </w:rPr>
          <w:t>BP 2510</w:t>
        </w:r>
      </w:hyperlink>
      <w:r>
        <w:rPr>
          <w:color w:val="000000"/>
        </w:rPr>
        <w:t xml:space="preserve">, </w:t>
      </w:r>
      <w:hyperlink r:id="rId25">
        <w:r w:rsidR="008558C6">
          <w:rPr>
            <w:color w:val="0563C1"/>
            <w:u w:val="single"/>
          </w:rPr>
          <w:t>AP 2510</w:t>
        </w:r>
      </w:hyperlink>
      <w:r>
        <w:rPr>
          <w:color w:val="000000"/>
        </w:rPr>
        <w:t>), which underscores the principle of participatory governance. This process involves various stakeholder groups in planning, developing policies, and making decisions critical to the institution's functions. Each constituency—students, faculty, classified profess</w:t>
      </w:r>
      <w:r>
        <w:t>ionals</w:t>
      </w:r>
      <w:r>
        <w:rPr>
          <w:color w:val="000000"/>
        </w:rPr>
        <w:t>, and administrators—</w:t>
      </w:r>
      <w:proofErr w:type="gramStart"/>
      <w:r>
        <w:rPr>
          <w:color w:val="000000"/>
        </w:rPr>
        <w:t>has the opportunity to</w:t>
      </w:r>
      <w:proofErr w:type="gramEnd"/>
      <w:r>
        <w:rPr>
          <w:color w:val="000000"/>
        </w:rPr>
        <w:t xml:space="preserve"> contribute through designated representatives, ensuring a comprehensive approach to institutional governance. This inclusive structure is detailed on the </w:t>
      </w:r>
      <w:hyperlink r:id="rId26">
        <w:r w:rsidR="008558C6">
          <w:rPr>
            <w:color w:val="0563C1"/>
            <w:u w:val="single"/>
          </w:rPr>
          <w:t>Participatory Governance website</w:t>
        </w:r>
      </w:hyperlink>
      <w:r>
        <w:rPr>
          <w:color w:val="000000"/>
        </w:rPr>
        <w:t>, reinforcing the college's commitment to collaborative policy-making and strategic planning.</w:t>
      </w:r>
      <w:r>
        <w:rPr>
          <w:noProof/>
        </w:rPr>
        <mc:AlternateContent>
          <mc:Choice Requires="wps">
            <w:drawing>
              <wp:anchor distT="0" distB="0" distL="0" distR="0" simplePos="0" relativeHeight="251658240" behindDoc="0" locked="0" layoutInCell="1" hidden="0" allowOverlap="1" wp14:anchorId="0EA81B3D" wp14:editId="6229B133">
                <wp:simplePos x="0" y="0"/>
                <wp:positionH relativeFrom="column">
                  <wp:posOffset>4419600</wp:posOffset>
                </wp:positionH>
                <wp:positionV relativeFrom="paragraph">
                  <wp:posOffset>482600</wp:posOffset>
                </wp:positionV>
                <wp:extent cx="9525" cy="12700"/>
                <wp:effectExtent l="0" t="0" r="0" b="0"/>
                <wp:wrapNone/>
                <wp:docPr id="23" name="Freeform: Shape 23"/>
                <wp:cNvGraphicFramePr/>
                <a:graphic xmlns:a="http://schemas.openxmlformats.org/drawingml/2006/main">
                  <a:graphicData uri="http://schemas.microsoft.com/office/word/2010/wordprocessingShape">
                    <wps:wsp>
                      <wps:cNvSpPr/>
                      <wps:spPr>
                        <a:xfrm>
                          <a:off x="5328220" y="3775238"/>
                          <a:ext cx="35560" cy="9525"/>
                        </a:xfrm>
                        <a:custGeom>
                          <a:avLst/>
                          <a:gdLst/>
                          <a:ahLst/>
                          <a:cxnLst/>
                          <a:rect l="l" t="t" r="r" b="b"/>
                          <a:pathLst>
                            <a:path w="35560" h="9525" extrusionOk="0">
                              <a:moveTo>
                                <a:pt x="35051" y="0"/>
                              </a:moveTo>
                              <a:lnTo>
                                <a:pt x="0" y="0"/>
                              </a:lnTo>
                              <a:lnTo>
                                <a:pt x="0" y="9144"/>
                              </a:lnTo>
                              <a:lnTo>
                                <a:pt x="35051" y="9144"/>
                              </a:lnTo>
                              <a:lnTo>
                                <a:pt x="35051" y="0"/>
                              </a:lnTo>
                              <a:close/>
                            </a:path>
                          </a:pathLst>
                        </a:custGeom>
                        <a:solidFill>
                          <a:srgbClr val="0462C1"/>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4419600</wp:posOffset>
                </wp:positionH>
                <wp:positionV relativeFrom="paragraph">
                  <wp:posOffset>482600</wp:posOffset>
                </wp:positionV>
                <wp:extent cx="9525" cy="12700"/>
                <wp:effectExtent b="0" l="0" r="0" t="0"/>
                <wp:wrapNone/>
                <wp:docPr id="23" name="image2.png"/>
                <a:graphic>
                  <a:graphicData uri="http://schemas.openxmlformats.org/drawingml/2006/picture">
                    <pic:pic>
                      <pic:nvPicPr>
                        <pic:cNvPr id="0" name="image2.png"/>
                        <pic:cNvPicPr preferRelativeResize="0"/>
                      </pic:nvPicPr>
                      <pic:blipFill>
                        <a:blip r:embed="rId28"/>
                        <a:srcRect/>
                        <a:stretch>
                          <a:fillRect/>
                        </a:stretch>
                      </pic:blipFill>
                      <pic:spPr>
                        <a:xfrm>
                          <a:off x="0" y="0"/>
                          <a:ext cx="9525" cy="12700"/>
                        </a:xfrm>
                        <a:prstGeom prst="rect"/>
                        <a:ln/>
                      </pic:spPr>
                    </pic:pic>
                  </a:graphicData>
                </a:graphic>
              </wp:anchor>
            </w:drawing>
          </mc:Fallback>
        </mc:AlternateContent>
      </w:r>
    </w:p>
    <w:p w14:paraId="7CD16C08" w14:textId="77777777" w:rsidR="008558C6" w:rsidRDefault="008558C6">
      <w:pPr>
        <w:pBdr>
          <w:top w:val="nil"/>
          <w:left w:val="nil"/>
          <w:bottom w:val="nil"/>
          <w:right w:val="nil"/>
          <w:between w:val="nil"/>
        </w:pBdr>
        <w:ind w:left="100" w:right="1000"/>
        <w:rPr>
          <w:color w:val="000000"/>
        </w:rPr>
      </w:pPr>
    </w:p>
    <w:p w14:paraId="092A6D04"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Councils and Committees Facilitating Inclusive Governance</w:t>
      </w:r>
    </w:p>
    <w:p w14:paraId="3BA4DA8A" w14:textId="77777777" w:rsidR="008558C6" w:rsidRDefault="00000000">
      <w:pPr>
        <w:pBdr>
          <w:top w:val="nil"/>
          <w:left w:val="nil"/>
          <w:bottom w:val="nil"/>
          <w:right w:val="nil"/>
          <w:between w:val="nil"/>
        </w:pBdr>
        <w:ind w:left="101" w:right="994"/>
        <w:rPr>
          <w:color w:val="000000"/>
        </w:rPr>
      </w:pPr>
      <w:r>
        <w:rPr>
          <w:color w:val="000000"/>
        </w:rPr>
        <w:t xml:space="preserve">The </w:t>
      </w:r>
      <w:hyperlink r:id="rId29">
        <w:r w:rsidR="008558C6">
          <w:rPr>
            <w:color w:val="0563C1"/>
            <w:u w:val="single"/>
          </w:rPr>
          <w:t>College Council</w:t>
        </w:r>
      </w:hyperlink>
      <w:r>
        <w:rPr>
          <w:color w:val="000000"/>
        </w:rPr>
        <w:t xml:space="preserve"> stands as the apex of the governance structure, advising the College President on wide-ranging institutional matters. It synthesizes </w:t>
      </w:r>
      <w:proofErr w:type="gramStart"/>
      <w:r>
        <w:rPr>
          <w:color w:val="000000"/>
        </w:rPr>
        <w:t>inputs</w:t>
      </w:r>
      <w:proofErr w:type="gramEnd"/>
      <w:r>
        <w:rPr>
          <w:color w:val="000000"/>
        </w:rPr>
        <w:t xml:space="preserve"> from the following committees that play a crucial role in the institutional decision-making process: </w:t>
      </w:r>
    </w:p>
    <w:p w14:paraId="3E60C0CA" w14:textId="77777777" w:rsidR="008558C6" w:rsidRDefault="008558C6">
      <w:pPr>
        <w:pBdr>
          <w:top w:val="nil"/>
          <w:left w:val="nil"/>
          <w:bottom w:val="nil"/>
          <w:right w:val="nil"/>
          <w:between w:val="nil"/>
        </w:pBdr>
        <w:spacing w:before="1"/>
        <w:rPr>
          <w:color w:val="000000"/>
        </w:rPr>
      </w:pPr>
    </w:p>
    <w:p w14:paraId="20D0EB5D" w14:textId="77777777" w:rsidR="008558C6" w:rsidRDefault="00000000">
      <w:pPr>
        <w:numPr>
          <w:ilvl w:val="2"/>
          <w:numId w:val="1"/>
        </w:numPr>
        <w:pBdr>
          <w:top w:val="nil"/>
          <w:left w:val="nil"/>
          <w:bottom w:val="nil"/>
          <w:right w:val="nil"/>
          <w:between w:val="nil"/>
        </w:pBdr>
        <w:tabs>
          <w:tab w:val="left" w:pos="820"/>
        </w:tabs>
        <w:ind w:right="1070"/>
        <w:rPr>
          <w:color w:val="000000"/>
        </w:rPr>
      </w:pPr>
      <w:r>
        <w:rPr>
          <w:color w:val="000000"/>
        </w:rPr>
        <w:t xml:space="preserve">The </w:t>
      </w:r>
      <w:hyperlink r:id="rId30">
        <w:r w:rsidR="008558C6">
          <w:rPr>
            <w:color w:val="0563C1"/>
            <w:u w:val="single"/>
          </w:rPr>
          <w:t>Budget Committee</w:t>
        </w:r>
      </w:hyperlink>
      <w:r>
        <w:rPr>
          <w:color w:val="000000"/>
        </w:rPr>
        <w:t xml:space="preserve"> oversees the alignment of budgeting processes with strategic priorities, promoting transparency and informed decision-making.</w:t>
      </w:r>
    </w:p>
    <w:p w14:paraId="09E20A6F" w14:textId="77777777" w:rsidR="008558C6" w:rsidRDefault="00000000">
      <w:pPr>
        <w:numPr>
          <w:ilvl w:val="2"/>
          <w:numId w:val="1"/>
        </w:numPr>
        <w:pBdr>
          <w:top w:val="nil"/>
          <w:left w:val="nil"/>
          <w:bottom w:val="nil"/>
          <w:right w:val="nil"/>
          <w:between w:val="nil"/>
        </w:pBdr>
        <w:tabs>
          <w:tab w:val="left" w:pos="820"/>
        </w:tabs>
        <w:spacing w:before="1"/>
        <w:ind w:right="1143"/>
        <w:rPr>
          <w:color w:val="000000"/>
        </w:rPr>
      </w:pPr>
      <w:r>
        <w:rPr>
          <w:color w:val="000000"/>
        </w:rPr>
        <w:lastRenderedPageBreak/>
        <w:t xml:space="preserve">The </w:t>
      </w:r>
      <w:hyperlink r:id="rId31">
        <w:r w:rsidR="008558C6">
          <w:rPr>
            <w:color w:val="0563C1"/>
            <w:u w:val="single"/>
          </w:rPr>
          <w:t>Facilities Committee</w:t>
        </w:r>
      </w:hyperlink>
      <w:r>
        <w:rPr>
          <w:color w:val="000000"/>
        </w:rPr>
        <w:t xml:space="preserve"> advises on the Facilities Master Plan and pertinent issues such as maintenance, renovations, and ADA compliance.</w:t>
      </w:r>
    </w:p>
    <w:p w14:paraId="3FB6E7EA" w14:textId="77777777" w:rsidR="008558C6" w:rsidRDefault="00000000">
      <w:pPr>
        <w:numPr>
          <w:ilvl w:val="2"/>
          <w:numId w:val="1"/>
        </w:numPr>
        <w:pBdr>
          <w:top w:val="nil"/>
          <w:left w:val="nil"/>
          <w:bottom w:val="nil"/>
          <w:right w:val="nil"/>
          <w:between w:val="nil"/>
        </w:pBdr>
        <w:tabs>
          <w:tab w:val="left" w:pos="820"/>
        </w:tabs>
        <w:spacing w:before="1"/>
        <w:ind w:right="1438"/>
        <w:rPr>
          <w:color w:val="000000"/>
        </w:rPr>
      </w:pPr>
      <w:r>
        <w:rPr>
          <w:color w:val="000000"/>
        </w:rPr>
        <w:t xml:space="preserve">The </w:t>
      </w:r>
      <w:hyperlink r:id="rId32">
        <w:r w:rsidR="008558C6">
          <w:rPr>
            <w:color w:val="0563C1"/>
            <w:u w:val="single"/>
          </w:rPr>
          <w:t>Planning and Institutional Effectiveness Committee</w:t>
        </w:r>
      </w:hyperlink>
      <w:r>
        <w:rPr>
          <w:color w:val="000000"/>
        </w:rPr>
        <w:t xml:space="preserve"> (PIEC) ensures that decision-making is data-informed and aligned with institutional effectiveness standards.</w:t>
      </w:r>
    </w:p>
    <w:p w14:paraId="66EBE08F" w14:textId="77777777" w:rsidR="008558C6" w:rsidRDefault="00000000">
      <w:pPr>
        <w:numPr>
          <w:ilvl w:val="2"/>
          <w:numId w:val="1"/>
        </w:numPr>
        <w:pBdr>
          <w:top w:val="nil"/>
          <w:left w:val="nil"/>
          <w:bottom w:val="nil"/>
          <w:right w:val="nil"/>
          <w:between w:val="nil"/>
        </w:pBdr>
        <w:tabs>
          <w:tab w:val="left" w:pos="820"/>
        </w:tabs>
        <w:ind w:right="1350"/>
        <w:rPr>
          <w:color w:val="000000"/>
        </w:rPr>
      </w:pPr>
      <w:r>
        <w:rPr>
          <w:color w:val="000000"/>
        </w:rPr>
        <w:t xml:space="preserve">The </w:t>
      </w:r>
      <w:hyperlink r:id="rId33">
        <w:r w:rsidR="008558C6">
          <w:rPr>
            <w:color w:val="0563C1"/>
            <w:u w:val="single"/>
          </w:rPr>
          <w:t>Professional Development Committee</w:t>
        </w:r>
      </w:hyperlink>
      <w:r>
        <w:rPr>
          <w:color w:val="000000"/>
        </w:rPr>
        <w:t xml:space="preserve"> oversees the planning and evaluation of professional development programs to enhance the college's strategic goal achievement and supports continuous institutional improvement.</w:t>
      </w:r>
    </w:p>
    <w:p w14:paraId="0212C504" w14:textId="77777777" w:rsidR="008558C6" w:rsidRDefault="00000000">
      <w:pPr>
        <w:numPr>
          <w:ilvl w:val="2"/>
          <w:numId w:val="1"/>
        </w:numPr>
        <w:pBdr>
          <w:top w:val="nil"/>
          <w:left w:val="nil"/>
          <w:bottom w:val="nil"/>
          <w:right w:val="nil"/>
          <w:between w:val="nil"/>
        </w:pBdr>
        <w:tabs>
          <w:tab w:val="left" w:pos="820"/>
        </w:tabs>
        <w:ind w:right="1438"/>
        <w:rPr>
          <w:color w:val="000000"/>
        </w:rPr>
      </w:pPr>
      <w:r>
        <w:rPr>
          <w:color w:val="000000"/>
        </w:rPr>
        <w:t xml:space="preserve">The </w:t>
      </w:r>
      <w:hyperlink r:id="rId34">
        <w:r w:rsidR="008558C6">
          <w:rPr>
            <w:color w:val="0563C1"/>
            <w:u w:val="single"/>
          </w:rPr>
          <w:t>Staffing Committee</w:t>
        </w:r>
      </w:hyperlink>
      <w:r>
        <w:rPr>
          <w:color w:val="000000"/>
        </w:rPr>
        <w:t xml:space="preserve"> is tasked with creating and monitoring Grossmont’s multi-year Staffing Plan, aligning its efforts with the college's Educational and Strategic Plan goals to ensure employment equity and diversity.</w:t>
      </w:r>
    </w:p>
    <w:p w14:paraId="251CCF9F" w14:textId="77777777" w:rsidR="008558C6" w:rsidRDefault="00000000">
      <w:pPr>
        <w:numPr>
          <w:ilvl w:val="2"/>
          <w:numId w:val="1"/>
        </w:numPr>
        <w:pBdr>
          <w:top w:val="nil"/>
          <w:left w:val="nil"/>
          <w:bottom w:val="nil"/>
          <w:right w:val="nil"/>
          <w:between w:val="nil"/>
        </w:pBdr>
        <w:tabs>
          <w:tab w:val="left" w:pos="820"/>
        </w:tabs>
        <w:ind w:right="1438"/>
        <w:rPr>
          <w:color w:val="000000"/>
        </w:rPr>
      </w:pPr>
      <w:r>
        <w:rPr>
          <w:color w:val="000000"/>
        </w:rPr>
        <w:t xml:space="preserve">The </w:t>
      </w:r>
      <w:hyperlink r:id="rId35">
        <w:r w:rsidR="008558C6">
          <w:rPr>
            <w:color w:val="0563C1"/>
            <w:u w:val="single"/>
          </w:rPr>
          <w:t>Student Success and Equity Committee</w:t>
        </w:r>
      </w:hyperlink>
      <w:r>
        <w:rPr>
          <w:color w:val="000000"/>
        </w:rPr>
        <w:t xml:space="preserve"> is dedicated to leading and supporting initiatives that enhance student access, success, and equity, helping to shape programs that foster an inclusive educational environment.</w:t>
      </w:r>
    </w:p>
    <w:p w14:paraId="5D55BDD6" w14:textId="77777777" w:rsidR="008558C6" w:rsidRDefault="00000000">
      <w:pPr>
        <w:numPr>
          <w:ilvl w:val="2"/>
          <w:numId w:val="1"/>
        </w:numPr>
        <w:pBdr>
          <w:top w:val="nil"/>
          <w:left w:val="nil"/>
          <w:bottom w:val="nil"/>
          <w:right w:val="nil"/>
          <w:between w:val="nil"/>
        </w:pBdr>
        <w:tabs>
          <w:tab w:val="left" w:pos="820"/>
        </w:tabs>
        <w:spacing w:before="1"/>
        <w:ind w:right="1438"/>
        <w:rPr>
          <w:color w:val="000000"/>
        </w:rPr>
      </w:pPr>
      <w:r>
        <w:rPr>
          <w:color w:val="000000"/>
        </w:rPr>
        <w:t xml:space="preserve">The </w:t>
      </w:r>
      <w:hyperlink r:id="rId36">
        <w:r w:rsidR="008558C6">
          <w:rPr>
            <w:color w:val="0563C1"/>
            <w:u w:val="single"/>
          </w:rPr>
          <w:t>Technology Committee</w:t>
        </w:r>
      </w:hyperlink>
      <w:r>
        <w:rPr>
          <w:color w:val="000000"/>
        </w:rPr>
        <w:t xml:space="preserve"> manages the college’s technological advancements, recommending strategies for technology implementation and ensuring alignment with the broader strategic and educational goals.</w:t>
      </w:r>
    </w:p>
    <w:p w14:paraId="3D6098A1" w14:textId="77777777" w:rsidR="008558C6" w:rsidRDefault="008558C6">
      <w:pPr>
        <w:pBdr>
          <w:top w:val="nil"/>
          <w:left w:val="nil"/>
          <w:bottom w:val="nil"/>
          <w:right w:val="nil"/>
          <w:between w:val="nil"/>
        </w:pBdr>
        <w:ind w:left="101" w:right="1051"/>
        <w:rPr>
          <w:b/>
          <w:color w:val="007E5D"/>
          <w:sz w:val="24"/>
          <w:szCs w:val="24"/>
        </w:rPr>
      </w:pPr>
    </w:p>
    <w:p w14:paraId="3DCC22D1"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Documentation and Resources Supporting Decision-Making</w:t>
      </w:r>
    </w:p>
    <w:p w14:paraId="5B608CF5" w14:textId="77777777" w:rsidR="008558C6" w:rsidRDefault="00000000">
      <w:pPr>
        <w:pBdr>
          <w:top w:val="nil"/>
          <w:left w:val="nil"/>
          <w:bottom w:val="nil"/>
          <w:right w:val="nil"/>
          <w:between w:val="nil"/>
        </w:pBdr>
        <w:ind w:left="101" w:right="994"/>
        <w:rPr>
          <w:color w:val="000000"/>
        </w:rPr>
      </w:pPr>
      <w:r>
        <w:rPr>
          <w:color w:val="000000"/>
        </w:rPr>
        <w:t xml:space="preserve">Key documents such as the </w:t>
      </w:r>
      <w:hyperlink r:id="rId37">
        <w:r w:rsidR="008558C6">
          <w:rPr>
            <w:color w:val="0563C1"/>
            <w:u w:val="single"/>
          </w:rPr>
          <w:t>Governance and Decision-Making Handbook</w:t>
        </w:r>
      </w:hyperlink>
      <w:r>
        <w:rPr>
          <w:color w:val="000000"/>
        </w:rPr>
        <w:t xml:space="preserve"> provide essential guidelines on the roles and responsibilities within the governance structure, ensuring clarity and consistency in participatory governance. This handbook serves as a foundational resource and helps preserve institutional memory concerning Grossmont's governance practices.</w:t>
      </w:r>
    </w:p>
    <w:p w14:paraId="220C7576" w14:textId="77777777" w:rsidR="008558C6" w:rsidRDefault="008558C6">
      <w:pPr>
        <w:pBdr>
          <w:top w:val="nil"/>
          <w:left w:val="nil"/>
          <w:bottom w:val="nil"/>
          <w:right w:val="nil"/>
          <w:between w:val="nil"/>
        </w:pBdr>
        <w:rPr>
          <w:color w:val="000000"/>
        </w:rPr>
      </w:pPr>
    </w:p>
    <w:p w14:paraId="5302FD44"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Decision-</w:t>
      </w:r>
      <w:proofErr w:type="gramStart"/>
      <w:r>
        <w:rPr>
          <w:b/>
          <w:color w:val="007E5D"/>
          <w:sz w:val="24"/>
          <w:szCs w:val="24"/>
        </w:rPr>
        <w:t>Making in</w:t>
      </w:r>
      <w:proofErr w:type="gramEnd"/>
      <w:r>
        <w:rPr>
          <w:b/>
          <w:color w:val="007E5D"/>
          <w:sz w:val="24"/>
          <w:szCs w:val="24"/>
        </w:rPr>
        <w:t xml:space="preserve"> Action</w:t>
      </w:r>
    </w:p>
    <w:p w14:paraId="34BB0BE5" w14:textId="77777777" w:rsidR="008558C6" w:rsidRDefault="00000000">
      <w:pPr>
        <w:pBdr>
          <w:top w:val="nil"/>
          <w:left w:val="nil"/>
          <w:bottom w:val="nil"/>
          <w:right w:val="nil"/>
          <w:between w:val="nil"/>
        </w:pBdr>
        <w:spacing w:before="1"/>
        <w:ind w:left="100" w:right="903"/>
        <w:rPr>
          <w:color w:val="000000"/>
        </w:rPr>
      </w:pPr>
      <w:r>
        <w:rPr>
          <w:color w:val="000000"/>
        </w:rPr>
        <w:t xml:space="preserve">Practical applications of this governance structure are visible in the actions and decisions that propel the college's mission forward. For example, the </w:t>
      </w:r>
      <w:hyperlink r:id="rId38">
        <w:r w:rsidR="008558C6">
          <w:rPr>
            <w:color w:val="0563C1"/>
            <w:u w:val="single"/>
          </w:rPr>
          <w:t>College Council</w:t>
        </w:r>
      </w:hyperlink>
      <w:r>
        <w:rPr>
          <w:color w:val="000000"/>
        </w:rPr>
        <w:t xml:space="preserve"> coordinates with other governance bodies to address complex issues, ensuring that decisions are well-considered and mission-aligned. Similarly, the </w:t>
      </w:r>
      <w:hyperlink r:id="rId39">
        <w:r w:rsidR="008558C6">
          <w:rPr>
            <w:color w:val="0563C1"/>
            <w:u w:val="single"/>
          </w:rPr>
          <w:t>Student Success &amp; Equity Committee</w:t>
        </w:r>
      </w:hyperlink>
      <w:r>
        <w:rPr>
          <w:color w:val="000000"/>
        </w:rPr>
        <w:t xml:space="preserve"> plays a crucial role in shaping initiatives that enhance student access and equity, directly influencing the college's strategic direction.</w:t>
      </w:r>
    </w:p>
    <w:p w14:paraId="06C42324" w14:textId="77777777" w:rsidR="008558C6" w:rsidRDefault="008558C6">
      <w:pPr>
        <w:pBdr>
          <w:top w:val="nil"/>
          <w:left w:val="nil"/>
          <w:bottom w:val="nil"/>
          <w:right w:val="nil"/>
          <w:between w:val="nil"/>
        </w:pBdr>
        <w:spacing w:before="1"/>
        <w:ind w:left="100" w:right="903"/>
        <w:rPr>
          <w:color w:val="000000"/>
        </w:rPr>
      </w:pPr>
    </w:p>
    <w:p w14:paraId="2D84D27A" w14:textId="77777777" w:rsidR="008558C6" w:rsidRDefault="00000000">
      <w:pPr>
        <w:pBdr>
          <w:top w:val="nil"/>
          <w:left w:val="nil"/>
          <w:bottom w:val="nil"/>
          <w:right w:val="nil"/>
          <w:between w:val="nil"/>
        </w:pBdr>
        <w:spacing w:before="1"/>
        <w:ind w:left="100" w:right="903"/>
      </w:pPr>
      <w:r>
        <w:rPr>
          <w:color w:val="000000"/>
        </w:rPr>
        <w:t xml:space="preserve">Examples of recent initiatives that have advanced the college’s mission include the </w:t>
      </w:r>
      <w:hyperlink r:id="rId40">
        <w:r w:rsidR="008558C6">
          <w:rPr>
            <w:color w:val="0563C1"/>
            <w:u w:val="single"/>
          </w:rPr>
          <w:t>Black History Month flag request</w:t>
        </w:r>
      </w:hyperlink>
      <w:r>
        <w:rPr>
          <w:color w:val="000000"/>
        </w:rPr>
        <w:t xml:space="preserve"> and the </w:t>
      </w:r>
      <w:hyperlink r:id="rId41">
        <w:r w:rsidR="008558C6">
          <w:rPr>
            <w:color w:val="0563C1"/>
            <w:u w:val="single"/>
          </w:rPr>
          <w:t>National Coming Out Day-LGBTQ+ flag request</w:t>
        </w:r>
      </w:hyperlink>
      <w:r>
        <w:rPr>
          <w:color w:val="000000"/>
        </w:rPr>
        <w:t>. The review of the gov</w:t>
      </w:r>
      <w:r>
        <w:t>ernance structure also advances our college’s mission.</w:t>
      </w:r>
    </w:p>
    <w:p w14:paraId="5B8B6736" w14:textId="77777777" w:rsidR="008558C6" w:rsidRDefault="008558C6">
      <w:pPr>
        <w:pBdr>
          <w:top w:val="nil"/>
          <w:left w:val="nil"/>
          <w:bottom w:val="nil"/>
          <w:right w:val="nil"/>
          <w:between w:val="nil"/>
        </w:pBdr>
        <w:spacing w:before="1"/>
        <w:ind w:left="100" w:right="903"/>
      </w:pPr>
    </w:p>
    <w:p w14:paraId="0E037B1B" w14:textId="77777777" w:rsidR="008558C6" w:rsidRDefault="008558C6">
      <w:pPr>
        <w:pBdr>
          <w:top w:val="nil"/>
          <w:left w:val="nil"/>
          <w:bottom w:val="nil"/>
          <w:right w:val="nil"/>
          <w:between w:val="nil"/>
        </w:pBdr>
        <w:spacing w:before="120"/>
        <w:ind w:left="101" w:right="907"/>
        <w:jc w:val="both"/>
        <w:rPr>
          <w:color w:val="000000"/>
        </w:rPr>
      </w:pPr>
    </w:p>
    <w:p w14:paraId="36967148" w14:textId="77777777" w:rsidR="008558C6" w:rsidRDefault="00000000">
      <w:pPr>
        <w:pStyle w:val="Heading2"/>
        <w:numPr>
          <w:ilvl w:val="1"/>
          <w:numId w:val="1"/>
        </w:numPr>
        <w:spacing w:before="1" w:after="0" w:line="259" w:lineRule="auto"/>
        <w:ind w:left="634" w:right="994" w:hanging="533"/>
        <w:rPr>
          <w:rFonts w:ascii="Carlito" w:eastAsia="Carlito" w:hAnsi="Carlito" w:cs="Carlito"/>
          <w:b/>
          <w:color w:val="000000"/>
          <w:sz w:val="22"/>
          <w:szCs w:val="22"/>
        </w:rPr>
      </w:pPr>
      <w:r>
        <w:rPr>
          <w:rFonts w:ascii="Carlito" w:eastAsia="Carlito" w:hAnsi="Carlito" w:cs="Carlito"/>
          <w:b/>
          <w:color w:val="000000"/>
          <w:sz w:val="22"/>
          <w:szCs w:val="22"/>
        </w:rPr>
        <w:t>The institution’s decision-making structures and processes are used consistently and effectively to advance the mission and prioritize equitable student outcomes.</w:t>
      </w:r>
    </w:p>
    <w:p w14:paraId="4484B305" w14:textId="77777777" w:rsidR="008558C6" w:rsidRDefault="008558C6">
      <w:pPr>
        <w:pBdr>
          <w:top w:val="nil"/>
          <w:left w:val="nil"/>
          <w:bottom w:val="nil"/>
          <w:right w:val="nil"/>
          <w:between w:val="nil"/>
        </w:pBdr>
        <w:ind w:left="101" w:right="1051"/>
        <w:rPr>
          <w:b/>
          <w:color w:val="007E5D"/>
          <w:sz w:val="24"/>
          <w:szCs w:val="24"/>
        </w:rPr>
      </w:pPr>
    </w:p>
    <w:p w14:paraId="31D494D1"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Participatory Governance to Advance the Mission</w:t>
      </w:r>
    </w:p>
    <w:p w14:paraId="435DF323" w14:textId="77777777" w:rsidR="008558C6" w:rsidRDefault="00000000">
      <w:pPr>
        <w:pBdr>
          <w:top w:val="nil"/>
          <w:left w:val="nil"/>
          <w:bottom w:val="nil"/>
          <w:right w:val="nil"/>
          <w:between w:val="nil"/>
        </w:pBdr>
        <w:ind w:left="101" w:right="994"/>
        <w:rPr>
          <w:color w:val="000000"/>
        </w:rPr>
      </w:pPr>
      <w:r>
        <w:rPr>
          <w:color w:val="374151"/>
        </w:rPr>
        <w:t xml:space="preserve">At Grossmont, decision-making processes are critically evaluated to ensure alignment with the institution's mission and the prioritization of equitable student outcomes. The college periodically assesses the effectiveness of its participatory governance through various means, including surveys like the </w:t>
      </w:r>
      <w:hyperlink r:id="rId42">
        <w:r w:rsidR="008558C6">
          <w:rPr>
            <w:color w:val="0563C1"/>
            <w:u w:val="single"/>
          </w:rPr>
          <w:t>Fall 2020 Participatory Governance Survey</w:t>
        </w:r>
      </w:hyperlink>
      <w:r>
        <w:rPr>
          <w:color w:val="374151"/>
        </w:rPr>
        <w:t xml:space="preserve">. This survey gathered feedback from stakeholders on the quality of communication and areas for </w:t>
      </w:r>
      <w:sdt>
        <w:sdtPr>
          <w:tag w:val="goog_rdk_1"/>
          <w:id w:val="-66501330"/>
        </w:sdtPr>
        <w:sdtContent/>
      </w:sdt>
      <w:r>
        <w:rPr>
          <w:color w:val="374151"/>
        </w:rPr>
        <w:t>improvement within the committee's work. The results from these assessments guide ongoing refinements to ensure the governance model remains dynamic and responsive.</w:t>
      </w:r>
    </w:p>
    <w:p w14:paraId="06455E0F" w14:textId="77777777" w:rsidR="008558C6" w:rsidRDefault="008558C6">
      <w:pPr>
        <w:pBdr>
          <w:top w:val="nil"/>
          <w:left w:val="nil"/>
          <w:bottom w:val="nil"/>
          <w:right w:val="nil"/>
          <w:between w:val="nil"/>
        </w:pBdr>
        <w:ind w:left="101" w:right="1051"/>
        <w:rPr>
          <w:b/>
          <w:color w:val="007E5D"/>
          <w:sz w:val="24"/>
          <w:szCs w:val="24"/>
        </w:rPr>
      </w:pPr>
    </w:p>
    <w:p w14:paraId="2E361ED9"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Enhancing Governance Through Strategic Retreats</w:t>
      </w:r>
    </w:p>
    <w:p w14:paraId="6D4A238D" w14:textId="77777777" w:rsidR="008558C6" w:rsidRDefault="00000000">
      <w:pPr>
        <w:pBdr>
          <w:top w:val="nil"/>
          <w:left w:val="nil"/>
          <w:bottom w:val="nil"/>
          <w:right w:val="nil"/>
          <w:between w:val="nil"/>
        </w:pBdr>
        <w:ind w:left="100" w:right="791"/>
        <w:rPr>
          <w:color w:val="000000"/>
        </w:rPr>
      </w:pPr>
      <w:r>
        <w:rPr>
          <w:color w:val="000000"/>
        </w:rPr>
        <w:t>In pursuit of continuous improvement, Grossmont held a full-day</w:t>
      </w:r>
      <w:r>
        <w:rPr>
          <w:color w:val="374151"/>
        </w:rPr>
        <w:t xml:space="preserve"> </w:t>
      </w:r>
      <w:hyperlink r:id="rId43">
        <w:r w:rsidR="008558C6">
          <w:rPr>
            <w:color w:val="0563C1"/>
            <w:u w:val="single"/>
          </w:rPr>
          <w:t>Governance Retreat</w:t>
        </w:r>
      </w:hyperlink>
      <w:r>
        <w:rPr>
          <w:color w:val="374151"/>
        </w:rPr>
        <w:t xml:space="preserve"> </w:t>
      </w:r>
      <w:r>
        <w:rPr>
          <w:color w:val="000000"/>
        </w:rPr>
        <w:t>in August 2023. The retreat facilitated a common understanding among participants of the existing strengths and areas needing enhancement within the governance and decision-making processes. Several actionable goals were set, including the aims of enhancing the clarity of governance versus non-governance issues and improving stakeholder participation and communication. This proactive approach reaffirmed the college's commitment to effective governance and fostered a deeper engagement within the college community in line with Grossmont's foundational principles.</w:t>
      </w:r>
    </w:p>
    <w:p w14:paraId="5042C551" w14:textId="77777777" w:rsidR="008558C6" w:rsidRDefault="008558C6">
      <w:pPr>
        <w:pBdr>
          <w:top w:val="nil"/>
          <w:left w:val="nil"/>
          <w:bottom w:val="nil"/>
          <w:right w:val="nil"/>
          <w:between w:val="nil"/>
        </w:pBdr>
        <w:ind w:left="100" w:right="791"/>
        <w:rPr>
          <w:color w:val="374151"/>
        </w:rPr>
      </w:pPr>
    </w:p>
    <w:p w14:paraId="2C98A040" w14:textId="77777777" w:rsidR="008558C6" w:rsidRDefault="00000000">
      <w:pPr>
        <w:pBdr>
          <w:top w:val="nil"/>
          <w:left w:val="nil"/>
          <w:bottom w:val="nil"/>
          <w:right w:val="nil"/>
          <w:between w:val="nil"/>
        </w:pBdr>
        <w:ind w:left="100" w:right="791"/>
        <w:rPr>
          <w:color w:val="000000"/>
        </w:rPr>
      </w:pPr>
      <w:r>
        <w:rPr>
          <w:color w:val="000000"/>
        </w:rPr>
        <w:t xml:space="preserve">The outcomes of the Governance Retreat were pivotal in advancing the mission of the college. Significant initiatives emerged from this structured dialogue, including the refinement of college-wide policies, the alignment of strategic priorities with the institutional mission, and the enhancement of resource allocation processes. These initiatives are documented in the </w:t>
      </w:r>
      <w:hyperlink r:id="rId44">
        <w:r w:rsidR="008558C6">
          <w:rPr>
            <w:color w:val="0563C1"/>
            <w:u w:val="single"/>
          </w:rPr>
          <w:t>Governance Refresher Retreat Notes</w:t>
        </w:r>
      </w:hyperlink>
      <w:r>
        <w:rPr>
          <w:color w:val="000000"/>
        </w:rPr>
        <w:t>, which outline specific recommendations for operational improvements across various college functions.</w:t>
      </w:r>
    </w:p>
    <w:p w14:paraId="76487955" w14:textId="77777777" w:rsidR="008558C6" w:rsidRDefault="008558C6">
      <w:pPr>
        <w:pBdr>
          <w:top w:val="nil"/>
          <w:left w:val="nil"/>
          <w:bottom w:val="nil"/>
          <w:right w:val="nil"/>
          <w:between w:val="nil"/>
        </w:pBdr>
        <w:spacing w:before="1"/>
        <w:rPr>
          <w:color w:val="000000"/>
        </w:rPr>
      </w:pPr>
    </w:p>
    <w:p w14:paraId="5563BA06"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Documenting and Advancing Institutional Initiatives</w:t>
      </w:r>
    </w:p>
    <w:p w14:paraId="6DE453AA" w14:textId="77777777" w:rsidR="008558C6" w:rsidRDefault="00000000">
      <w:pPr>
        <w:pBdr>
          <w:top w:val="nil"/>
          <w:left w:val="nil"/>
          <w:bottom w:val="nil"/>
          <w:right w:val="nil"/>
          <w:between w:val="nil"/>
        </w:pBdr>
        <w:ind w:left="100" w:right="1052"/>
        <w:rPr>
          <w:color w:val="000000"/>
        </w:rPr>
      </w:pPr>
      <w:r>
        <w:rPr>
          <w:color w:val="000000"/>
        </w:rPr>
        <w:t xml:space="preserve">Several critical ideas have been advanced through Grossmont's decision-making structures, including the </w:t>
      </w:r>
      <w:sdt>
        <w:sdtPr>
          <w:tag w:val="goog_rdk_2"/>
          <w:id w:val="-1151366474"/>
        </w:sdtPr>
        <w:sdtContent/>
      </w:sdt>
      <w:sdt>
        <w:sdtPr>
          <w:tag w:val="goog_rdk_3"/>
          <w:id w:val="-940365126"/>
        </w:sdtPr>
        <w:sdtContent/>
      </w:sdt>
      <w:r>
        <w:rPr>
          <w:color w:val="000000"/>
        </w:rPr>
        <w:t xml:space="preserve">Classified Staffing Prioritization List, Faculty Staffing Prioritization List, and </w:t>
      </w:r>
      <w:hyperlink r:id="rId45">
        <w:r w:rsidR="008558C6">
          <w:rPr>
            <w:color w:val="1155CC"/>
            <w:u w:val="single"/>
          </w:rPr>
          <w:t>Student Equity Plan</w:t>
        </w:r>
      </w:hyperlink>
      <w:r>
        <w:rPr>
          <w:color w:val="000000"/>
        </w:rPr>
        <w:t xml:space="preserve">, all crucial for aligning staffing with strategic and equity goals. Closing the loop on recommendations brought to the College Council and the President regarding final decisions was a </w:t>
      </w:r>
      <w:sdt>
        <w:sdtPr>
          <w:tag w:val="goog_rdk_4"/>
          <w:id w:val="-1482067980"/>
        </w:sdtPr>
        <w:sdtContent/>
      </w:sdt>
      <w:sdt>
        <w:sdtPr>
          <w:tag w:val="goog_rdk_5"/>
          <w:id w:val="961532499"/>
        </w:sdtPr>
        <w:sdtContent/>
      </w:sdt>
      <w:r>
        <w:rPr>
          <w:color w:val="000000"/>
        </w:rPr>
        <w:t>key improvement that came from the review of the Governance structure. The process from idea generation to implementation is thoroughly documented through minutes and reports from specific committee and College Council meetings, ensuring transparency, follow-through, and accountability.</w:t>
      </w:r>
    </w:p>
    <w:p w14:paraId="6B6A98A4" w14:textId="77777777" w:rsidR="008558C6" w:rsidRDefault="008558C6">
      <w:pPr>
        <w:pBdr>
          <w:top w:val="nil"/>
          <w:left w:val="nil"/>
          <w:bottom w:val="nil"/>
          <w:right w:val="nil"/>
          <w:between w:val="nil"/>
        </w:pBdr>
        <w:ind w:left="100" w:right="1052"/>
        <w:rPr>
          <w:color w:val="374151"/>
        </w:rPr>
      </w:pPr>
    </w:p>
    <w:p w14:paraId="736EBD64"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Feedback and Continuous Improvement</w:t>
      </w:r>
    </w:p>
    <w:p w14:paraId="7A64A23B" w14:textId="77777777" w:rsidR="008558C6" w:rsidRDefault="00000000">
      <w:pPr>
        <w:pBdr>
          <w:top w:val="nil"/>
          <w:left w:val="nil"/>
          <w:bottom w:val="nil"/>
          <w:right w:val="nil"/>
          <w:between w:val="nil"/>
        </w:pBdr>
        <w:ind w:left="100" w:right="1052"/>
        <w:rPr>
          <w:color w:val="000000"/>
        </w:rPr>
      </w:pPr>
      <w:r>
        <w:rPr>
          <w:color w:val="000000"/>
        </w:rPr>
        <w:t xml:space="preserve">The feedback received in January 2022, as documented in the </w:t>
      </w:r>
      <w:hyperlink r:id="rId46">
        <w:r w:rsidR="008558C6">
          <w:rPr>
            <w:color w:val="0563C1"/>
            <w:u w:val="single"/>
          </w:rPr>
          <w:t>PIEC Governance Feedback notes</w:t>
        </w:r>
      </w:hyperlink>
      <w:r>
        <w:rPr>
          <w:color w:val="000000"/>
        </w:rPr>
        <w:t xml:space="preserve">, resulted in significant improvements to the </w:t>
      </w:r>
      <w:hyperlink r:id="rId47">
        <w:r w:rsidR="008558C6">
          <w:rPr>
            <w:color w:val="0563C1"/>
            <w:u w:val="single"/>
          </w:rPr>
          <w:t>Participatory Governance Handbook</w:t>
        </w:r>
      </w:hyperlink>
      <w:r>
        <w:rPr>
          <w:color w:val="000000"/>
        </w:rPr>
        <w:t xml:space="preserve"> which itself has led to substantial enhancements. Recommendations included integrating specific accreditation standards relevant to each committee's work, improving the clarity of committee interrelations, and extending co-chair tenures to optimize leadership continuity. These refinements illustrate Grossmont’s commitment to a robust governance structure that supports and actively enhances the academic environment and broader community engagement.</w:t>
      </w:r>
    </w:p>
    <w:p w14:paraId="01B0A9D9" w14:textId="77777777" w:rsidR="008558C6" w:rsidRDefault="008558C6">
      <w:pPr>
        <w:pBdr>
          <w:top w:val="nil"/>
          <w:left w:val="nil"/>
          <w:bottom w:val="nil"/>
          <w:right w:val="nil"/>
          <w:between w:val="nil"/>
        </w:pBdr>
        <w:rPr>
          <w:color w:val="000000"/>
        </w:rPr>
      </w:pPr>
    </w:p>
    <w:p w14:paraId="71709969" w14:textId="77777777" w:rsidR="008558C6" w:rsidRDefault="00000000">
      <w:pPr>
        <w:pStyle w:val="Heading2"/>
        <w:numPr>
          <w:ilvl w:val="1"/>
          <w:numId w:val="1"/>
        </w:numPr>
        <w:spacing w:after="0" w:line="259" w:lineRule="auto"/>
        <w:ind w:left="634" w:right="994" w:hanging="533"/>
        <w:rPr>
          <w:rFonts w:ascii="Carlito" w:eastAsia="Carlito" w:hAnsi="Carlito" w:cs="Carlito"/>
          <w:b/>
          <w:color w:val="000000"/>
          <w:sz w:val="22"/>
          <w:szCs w:val="22"/>
        </w:rPr>
      </w:pPr>
      <w:r>
        <w:rPr>
          <w:rFonts w:ascii="Carlito" w:eastAsia="Carlito" w:hAnsi="Carlito" w:cs="Carlito"/>
          <w:b/>
          <w:color w:val="000000"/>
          <w:sz w:val="22"/>
          <w:szCs w:val="22"/>
        </w:rPr>
        <w:t xml:space="preserve">Acting through policy, the governing board takes responsibility for the overall quality and stability of the </w:t>
      </w:r>
      <w:proofErr w:type="gramStart"/>
      <w:r>
        <w:rPr>
          <w:rFonts w:ascii="Carlito" w:eastAsia="Carlito" w:hAnsi="Carlito" w:cs="Carlito"/>
          <w:b/>
          <w:color w:val="000000"/>
          <w:sz w:val="22"/>
          <w:szCs w:val="22"/>
        </w:rPr>
        <w:t>institution, and</w:t>
      </w:r>
      <w:proofErr w:type="gramEnd"/>
      <w:r>
        <w:rPr>
          <w:rFonts w:ascii="Carlito" w:eastAsia="Carlito" w:hAnsi="Carlito" w:cs="Carlito"/>
          <w:b/>
          <w:color w:val="000000"/>
          <w:sz w:val="22"/>
          <w:szCs w:val="22"/>
        </w:rPr>
        <w:t xml:space="preserve"> regularly monitors progress towards its goals and fiscal health. (ER 7)</w:t>
      </w:r>
    </w:p>
    <w:p w14:paraId="07BA381A" w14:textId="77777777" w:rsidR="008558C6" w:rsidRDefault="008558C6">
      <w:pPr>
        <w:pBdr>
          <w:top w:val="nil"/>
          <w:left w:val="nil"/>
          <w:bottom w:val="nil"/>
          <w:right w:val="nil"/>
          <w:between w:val="nil"/>
        </w:pBdr>
        <w:ind w:left="101" w:right="1051"/>
        <w:rPr>
          <w:b/>
          <w:color w:val="007E5D"/>
          <w:sz w:val="24"/>
          <w:szCs w:val="24"/>
        </w:rPr>
      </w:pPr>
    </w:p>
    <w:p w14:paraId="0E06F7AB"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Foundational Policies Guiding Board Responsibilities</w:t>
      </w:r>
    </w:p>
    <w:p w14:paraId="3C5813C4" w14:textId="77777777" w:rsidR="008558C6" w:rsidRDefault="00000000">
      <w:pPr>
        <w:pBdr>
          <w:top w:val="nil"/>
          <w:left w:val="nil"/>
          <w:bottom w:val="nil"/>
          <w:right w:val="nil"/>
          <w:between w:val="nil"/>
        </w:pBdr>
        <w:spacing w:before="1"/>
        <w:ind w:left="100" w:right="867"/>
        <w:rPr>
          <w:color w:val="000000"/>
        </w:rPr>
      </w:pPr>
      <w:r>
        <w:rPr>
          <w:color w:val="000000"/>
        </w:rPr>
        <w:t xml:space="preserve">Grossmont is dedicated to upholding high standards of quality and stability, guided by the </w:t>
      </w:r>
      <w:r>
        <w:rPr>
          <w:color w:val="000000"/>
        </w:rPr>
        <w:lastRenderedPageBreak/>
        <w:t>Board of Trustees' robust framework of policies. Central to this framework is the board policy on Board Duties and Responsibilities (</w:t>
      </w:r>
      <w:hyperlink r:id="rId48">
        <w:r w:rsidR="008558C6">
          <w:rPr>
            <w:color w:val="0563C1"/>
            <w:u w:val="single"/>
          </w:rPr>
          <w:t>BP 2200</w:t>
        </w:r>
      </w:hyperlink>
      <w:r>
        <w:rPr>
          <w:color w:val="000000"/>
        </w:rPr>
        <w:t>), which delineates both areas and ensures a structured approach to governance and oversight. This policy ensures the Board's actions align with the institution's mission and strategic goals, emphasizing their crucial role in decision-making, policy approval, and fiscal management.</w:t>
      </w:r>
    </w:p>
    <w:p w14:paraId="19FB2C55" w14:textId="77777777" w:rsidR="008558C6" w:rsidRDefault="008558C6">
      <w:pPr>
        <w:pBdr>
          <w:top w:val="nil"/>
          <w:left w:val="nil"/>
          <w:bottom w:val="nil"/>
          <w:right w:val="nil"/>
          <w:between w:val="nil"/>
        </w:pBdr>
        <w:spacing w:before="1"/>
        <w:ind w:left="100" w:right="867"/>
        <w:jc w:val="both"/>
        <w:rPr>
          <w:color w:val="000000"/>
        </w:rPr>
      </w:pPr>
    </w:p>
    <w:p w14:paraId="53E08275"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Engagement and Decision-Making in Governance</w:t>
      </w:r>
    </w:p>
    <w:p w14:paraId="66F9AA94" w14:textId="77777777" w:rsidR="008558C6" w:rsidRDefault="00000000">
      <w:pPr>
        <w:pBdr>
          <w:top w:val="nil"/>
          <w:left w:val="nil"/>
          <w:bottom w:val="nil"/>
          <w:right w:val="nil"/>
          <w:between w:val="nil"/>
        </w:pBdr>
        <w:ind w:left="100" w:right="1165"/>
        <w:rPr>
          <w:color w:val="000000"/>
        </w:rPr>
      </w:pPr>
      <w:r>
        <w:rPr>
          <w:color w:val="000000"/>
        </w:rPr>
        <w:t>The Board's commitment to effective governance is further reinforced by board policy and administrative procedure on Participation in Local Decision-Making (</w:t>
      </w:r>
      <w:hyperlink r:id="rId49">
        <w:r w:rsidR="008558C6">
          <w:rPr>
            <w:color w:val="0563C1"/>
            <w:u w:val="single"/>
          </w:rPr>
          <w:t>BP 2510</w:t>
        </w:r>
      </w:hyperlink>
      <w:r>
        <w:rPr>
          <w:color w:val="000000"/>
        </w:rPr>
        <w:t xml:space="preserve">, </w:t>
      </w:r>
      <w:hyperlink r:id="rId50">
        <w:r w:rsidR="008558C6">
          <w:rPr>
            <w:color w:val="0563C1"/>
            <w:u w:val="single"/>
          </w:rPr>
          <w:t>AP 2510</w:t>
        </w:r>
      </w:hyperlink>
      <w:r>
        <w:rPr>
          <w:color w:val="000000"/>
        </w:rPr>
        <w:t xml:space="preserve">). These documents outline the structured engagement of various district stakeholders, including the Academic Senate, administrators, staff, and students, in the governance process. This participatory approach is crucial in fostering an inclusive environment where all voices contribute to the college's direction and policy formulation. The </w:t>
      </w:r>
      <w:hyperlink r:id="rId51">
        <w:r w:rsidR="008558C6">
          <w:rPr>
            <w:color w:val="0563C1"/>
            <w:u w:val="single"/>
          </w:rPr>
          <w:t>GCCCD Governance Handbook</w:t>
        </w:r>
      </w:hyperlink>
      <w:r>
        <w:rPr>
          <w:color w:val="000000"/>
        </w:rPr>
        <w:t xml:space="preserve"> complements these policies by providing a detailed overview of governance processes, enhancing transparency and cooperation across the college community.</w:t>
      </w:r>
      <w:r>
        <w:rPr>
          <w:noProof/>
        </w:rPr>
        <mc:AlternateContent>
          <mc:Choice Requires="wps">
            <w:drawing>
              <wp:anchor distT="0" distB="0" distL="0" distR="0" simplePos="0" relativeHeight="251659264" behindDoc="0" locked="0" layoutInCell="1" hidden="0" allowOverlap="1" wp14:anchorId="747FDAA6" wp14:editId="67F40C70">
                <wp:simplePos x="0" y="0"/>
                <wp:positionH relativeFrom="column">
                  <wp:posOffset>3251200</wp:posOffset>
                </wp:positionH>
                <wp:positionV relativeFrom="paragraph">
                  <wp:posOffset>469900</wp:posOffset>
                </wp:positionV>
                <wp:extent cx="9525" cy="12700"/>
                <wp:effectExtent l="0" t="0" r="0" b="0"/>
                <wp:wrapNone/>
                <wp:docPr id="22" name="Freeform: Shape 22"/>
                <wp:cNvGraphicFramePr/>
                <a:graphic xmlns:a="http://schemas.openxmlformats.org/drawingml/2006/main">
                  <a:graphicData uri="http://schemas.microsoft.com/office/word/2010/wordprocessingShape">
                    <wps:wsp>
                      <wps:cNvSpPr/>
                      <wps:spPr>
                        <a:xfrm>
                          <a:off x="5328220" y="3775238"/>
                          <a:ext cx="35560" cy="9525"/>
                        </a:xfrm>
                        <a:custGeom>
                          <a:avLst/>
                          <a:gdLst/>
                          <a:ahLst/>
                          <a:cxnLst/>
                          <a:rect l="l" t="t" r="r" b="b"/>
                          <a:pathLst>
                            <a:path w="35560" h="9525" extrusionOk="0">
                              <a:moveTo>
                                <a:pt x="35051" y="0"/>
                              </a:moveTo>
                              <a:lnTo>
                                <a:pt x="0" y="0"/>
                              </a:lnTo>
                              <a:lnTo>
                                <a:pt x="0" y="9144"/>
                              </a:lnTo>
                              <a:lnTo>
                                <a:pt x="35051" y="9144"/>
                              </a:lnTo>
                              <a:lnTo>
                                <a:pt x="35051" y="0"/>
                              </a:lnTo>
                              <a:close/>
                            </a:path>
                          </a:pathLst>
                        </a:custGeom>
                        <a:solidFill>
                          <a:srgbClr val="0462C1"/>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3251200</wp:posOffset>
                </wp:positionH>
                <wp:positionV relativeFrom="paragraph">
                  <wp:posOffset>469900</wp:posOffset>
                </wp:positionV>
                <wp:extent cx="9525" cy="12700"/>
                <wp:effectExtent b="0" l="0" r="0" t="0"/>
                <wp:wrapNone/>
                <wp:docPr id="22" name="image1.png"/>
                <a:graphic>
                  <a:graphicData uri="http://schemas.openxmlformats.org/drawingml/2006/picture">
                    <pic:pic>
                      <pic:nvPicPr>
                        <pic:cNvPr id="0" name="image1.png"/>
                        <pic:cNvPicPr preferRelativeResize="0"/>
                      </pic:nvPicPr>
                      <pic:blipFill>
                        <a:blip r:embed="rId52"/>
                        <a:srcRect/>
                        <a:stretch>
                          <a:fillRect/>
                        </a:stretch>
                      </pic:blipFill>
                      <pic:spPr>
                        <a:xfrm>
                          <a:off x="0" y="0"/>
                          <a:ext cx="9525" cy="12700"/>
                        </a:xfrm>
                        <a:prstGeom prst="rect"/>
                        <a:ln/>
                      </pic:spPr>
                    </pic:pic>
                  </a:graphicData>
                </a:graphic>
              </wp:anchor>
            </w:drawing>
          </mc:Fallback>
        </mc:AlternateContent>
      </w:r>
    </w:p>
    <w:p w14:paraId="1311D512" w14:textId="77777777" w:rsidR="008558C6" w:rsidRDefault="008558C6">
      <w:pPr>
        <w:pBdr>
          <w:top w:val="nil"/>
          <w:left w:val="nil"/>
          <w:bottom w:val="nil"/>
          <w:right w:val="nil"/>
          <w:between w:val="nil"/>
        </w:pBdr>
        <w:rPr>
          <w:color w:val="000000"/>
        </w:rPr>
      </w:pPr>
    </w:p>
    <w:p w14:paraId="2E27DD32"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Information and Resources for Stakeholders</w:t>
      </w:r>
    </w:p>
    <w:p w14:paraId="4A5D8FD8" w14:textId="77777777" w:rsidR="008558C6" w:rsidRDefault="00000000">
      <w:pPr>
        <w:pBdr>
          <w:top w:val="nil"/>
          <w:left w:val="nil"/>
          <w:bottom w:val="nil"/>
          <w:right w:val="nil"/>
          <w:between w:val="nil"/>
        </w:pBdr>
        <w:ind w:left="100" w:right="828"/>
        <w:rPr>
          <w:color w:val="000000"/>
        </w:rPr>
      </w:pPr>
      <w:r>
        <w:rPr>
          <w:color w:val="000000"/>
        </w:rPr>
        <w:t>To support transparency and accessibility, the</w:t>
      </w:r>
      <w:r>
        <w:rPr>
          <w:color w:val="404040"/>
        </w:rPr>
        <w:t xml:space="preserve"> </w:t>
      </w:r>
      <w:hyperlink r:id="rId53">
        <w:r w:rsidR="008558C6">
          <w:rPr>
            <w:color w:val="0563C1"/>
            <w:u w:val="single"/>
          </w:rPr>
          <w:t>GCCCD Governing Board’s webpage</w:t>
        </w:r>
      </w:hyperlink>
      <w:r>
        <w:rPr>
          <w:color w:val="404040"/>
        </w:rPr>
        <w:t xml:space="preserve"> </w:t>
      </w:r>
      <w:r>
        <w:rPr>
          <w:color w:val="000000"/>
        </w:rPr>
        <w:t>serves as a vital resource for the college community, offering access to Board members’ biographies, meeting schedules, and essential governance documents. This portal includes links to the</w:t>
      </w:r>
      <w:r>
        <w:rPr>
          <w:color w:val="404040"/>
        </w:rPr>
        <w:t xml:space="preserve"> </w:t>
      </w:r>
      <w:hyperlink r:id="rId54">
        <w:r w:rsidR="008558C6">
          <w:rPr>
            <w:color w:val="0563C1"/>
            <w:u w:val="single"/>
          </w:rPr>
          <w:t>GCCCD Governance Handbook</w:t>
        </w:r>
      </w:hyperlink>
      <w:r>
        <w:rPr>
          <w:color w:val="000000"/>
        </w:rPr>
        <w:t>, districtwide strategic priorities, and detailed records of</w:t>
      </w:r>
      <w:r>
        <w:rPr>
          <w:color w:val="404040"/>
        </w:rPr>
        <w:t xml:space="preserve"> </w:t>
      </w:r>
      <w:hyperlink r:id="rId55">
        <w:r w:rsidR="008558C6">
          <w:rPr>
            <w:color w:val="0563C1"/>
            <w:u w:val="single"/>
          </w:rPr>
          <w:t>Board meeting agendas and minutes</w:t>
        </w:r>
      </w:hyperlink>
      <w:r>
        <w:rPr>
          <w:color w:val="000000"/>
        </w:rPr>
        <w:t>, which are instrumental in documenting the Board’s active role in fiscal and academic oversight.</w:t>
      </w:r>
    </w:p>
    <w:p w14:paraId="026432A8" w14:textId="77777777" w:rsidR="008558C6" w:rsidRDefault="008558C6">
      <w:pPr>
        <w:pBdr>
          <w:top w:val="nil"/>
          <w:left w:val="nil"/>
          <w:bottom w:val="nil"/>
          <w:right w:val="nil"/>
          <w:between w:val="nil"/>
        </w:pBdr>
        <w:rPr>
          <w:color w:val="000000"/>
        </w:rPr>
      </w:pPr>
    </w:p>
    <w:p w14:paraId="58F7FAB2"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Monitoring and Evaluation of Institutional Effectiveness</w:t>
      </w:r>
    </w:p>
    <w:p w14:paraId="3C596A30" w14:textId="77777777" w:rsidR="008558C6" w:rsidRDefault="00000000">
      <w:pPr>
        <w:pBdr>
          <w:top w:val="nil"/>
          <w:left w:val="nil"/>
          <w:bottom w:val="nil"/>
          <w:right w:val="nil"/>
          <w:between w:val="nil"/>
        </w:pBdr>
        <w:spacing w:before="1"/>
        <w:ind w:left="100" w:right="850"/>
        <w:rPr>
          <w:color w:val="404040"/>
        </w:rPr>
      </w:pPr>
      <w:r>
        <w:rPr>
          <w:color w:val="000000"/>
        </w:rPr>
        <w:t>Regular assessments of institutional effectiveness are a cornerstone of the Board’s responsibilities, ensuring that the college not only meets but exceeds its educational and operational goals. This is achieved through regular reviews of key performance indicators, detailed in</w:t>
      </w:r>
      <w:r>
        <w:rPr>
          <w:color w:val="404040"/>
        </w:rPr>
        <w:t xml:space="preserve"> </w:t>
      </w:r>
      <w:hyperlink r:id="rId56">
        <w:r w:rsidR="008558C6">
          <w:rPr>
            <w:color w:val="0563C1"/>
            <w:u w:val="single"/>
          </w:rPr>
          <w:t>Board meeting minutes</w:t>
        </w:r>
      </w:hyperlink>
      <w:r>
        <w:rPr>
          <w:color w:val="404040"/>
        </w:rPr>
        <w:t xml:space="preserve"> </w:t>
      </w:r>
      <w:r>
        <w:rPr>
          <w:color w:val="000000"/>
        </w:rPr>
        <w:t xml:space="preserve">available on BoardDocs. These reviews are key in evaluating student outcomes, fiscal health, and overall institutional quality. </w:t>
      </w:r>
    </w:p>
    <w:p w14:paraId="4D4B9704" w14:textId="77777777" w:rsidR="008558C6" w:rsidRDefault="008558C6">
      <w:pPr>
        <w:pBdr>
          <w:top w:val="nil"/>
          <w:left w:val="nil"/>
          <w:bottom w:val="nil"/>
          <w:right w:val="nil"/>
          <w:between w:val="nil"/>
        </w:pBdr>
        <w:spacing w:before="1"/>
        <w:ind w:left="100" w:right="850"/>
        <w:rPr>
          <w:color w:val="404040"/>
        </w:rPr>
      </w:pPr>
    </w:p>
    <w:p w14:paraId="67ED5DA6" w14:textId="77777777" w:rsidR="008558C6" w:rsidRDefault="00000000">
      <w:pPr>
        <w:pBdr>
          <w:top w:val="nil"/>
          <w:left w:val="nil"/>
          <w:bottom w:val="nil"/>
          <w:right w:val="nil"/>
          <w:between w:val="nil"/>
        </w:pBdr>
        <w:spacing w:before="1"/>
        <w:ind w:left="100" w:right="850"/>
        <w:rPr>
          <w:color w:val="000000"/>
        </w:rPr>
      </w:pPr>
      <w:r>
        <w:rPr>
          <w:color w:val="000000"/>
        </w:rPr>
        <w:t>Board Policies and Administrative Procedures</w:t>
      </w:r>
      <w:r>
        <w:rPr>
          <w:color w:val="404040"/>
        </w:rPr>
        <w:t xml:space="preserve"> (</w:t>
      </w:r>
      <w:hyperlink r:id="rId57">
        <w:r w:rsidR="008558C6">
          <w:rPr>
            <w:color w:val="0563C1"/>
            <w:u w:val="single"/>
          </w:rPr>
          <w:t>BP 2410</w:t>
        </w:r>
      </w:hyperlink>
      <w:r>
        <w:rPr>
          <w:color w:val="404040"/>
        </w:rPr>
        <w:t xml:space="preserve">, </w:t>
      </w:r>
      <w:hyperlink r:id="rId58">
        <w:r w:rsidR="008558C6">
          <w:rPr>
            <w:color w:val="0563C1"/>
            <w:u w:val="single"/>
          </w:rPr>
          <w:t>AP 2410</w:t>
        </w:r>
      </w:hyperlink>
      <w:r>
        <w:rPr>
          <w:color w:val="404040"/>
        </w:rPr>
        <w:t xml:space="preserve">) </w:t>
      </w:r>
      <w:r>
        <w:rPr>
          <w:color w:val="000000"/>
        </w:rPr>
        <w:t>outline the procedure for the periodic review of board policies, ensuring they remain relevant and effectively support the college's mission. This ongoing process is reflected in the Board's agendas, where policy reviews are a regular item, underscoring the Board’s dedication to continuous improvement and accountability.</w:t>
      </w:r>
    </w:p>
    <w:p w14:paraId="182EAA69" w14:textId="77777777" w:rsidR="008558C6" w:rsidRDefault="008558C6">
      <w:pPr>
        <w:pBdr>
          <w:top w:val="nil"/>
          <w:left w:val="nil"/>
          <w:bottom w:val="nil"/>
          <w:right w:val="nil"/>
          <w:between w:val="nil"/>
        </w:pBdr>
        <w:rPr>
          <w:color w:val="000000"/>
        </w:rPr>
      </w:pPr>
    </w:p>
    <w:p w14:paraId="514C3059" w14:textId="77777777" w:rsidR="008558C6" w:rsidRDefault="00000000">
      <w:pPr>
        <w:pStyle w:val="Heading2"/>
        <w:numPr>
          <w:ilvl w:val="1"/>
          <w:numId w:val="1"/>
        </w:numPr>
        <w:spacing w:after="0" w:line="259" w:lineRule="auto"/>
        <w:ind w:left="634" w:right="994" w:hanging="533"/>
        <w:rPr>
          <w:rFonts w:ascii="Carlito" w:eastAsia="Carlito" w:hAnsi="Carlito" w:cs="Carlito"/>
          <w:b/>
          <w:color w:val="000000"/>
          <w:sz w:val="22"/>
          <w:szCs w:val="22"/>
        </w:rPr>
      </w:pPr>
      <w:r>
        <w:rPr>
          <w:rFonts w:ascii="Carlito" w:eastAsia="Carlito" w:hAnsi="Carlito" w:cs="Carlito"/>
          <w:b/>
          <w:color w:val="000000"/>
          <w:sz w:val="22"/>
          <w:szCs w:val="22"/>
        </w:rPr>
        <w:t>The governing board selects the institution’s chief executive officer (CEO). The governing board gives the CEO full authority to implement board policies and ensure effective operations and fulfillment of the institutional mission.</w:t>
      </w:r>
    </w:p>
    <w:p w14:paraId="72E794A1" w14:textId="77777777" w:rsidR="008558C6" w:rsidRDefault="008558C6">
      <w:pPr>
        <w:pBdr>
          <w:top w:val="nil"/>
          <w:left w:val="nil"/>
          <w:bottom w:val="nil"/>
          <w:right w:val="nil"/>
          <w:between w:val="nil"/>
        </w:pBdr>
        <w:ind w:left="101" w:right="1051"/>
        <w:rPr>
          <w:b/>
          <w:color w:val="007E5D"/>
          <w:sz w:val="24"/>
          <w:szCs w:val="24"/>
        </w:rPr>
      </w:pPr>
    </w:p>
    <w:p w14:paraId="393DDD93"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Selection and Evaluation of the Chief Executive Officer</w:t>
      </w:r>
    </w:p>
    <w:p w14:paraId="156A1843" w14:textId="77777777" w:rsidR="008558C6" w:rsidRDefault="00000000">
      <w:pPr>
        <w:pBdr>
          <w:top w:val="nil"/>
          <w:left w:val="nil"/>
          <w:bottom w:val="nil"/>
          <w:right w:val="nil"/>
          <w:between w:val="nil"/>
        </w:pBdr>
        <w:spacing w:before="39"/>
        <w:ind w:left="100" w:right="1000"/>
        <w:rPr>
          <w:color w:val="404040"/>
        </w:rPr>
      </w:pPr>
      <w:r>
        <w:rPr>
          <w:color w:val="000000"/>
        </w:rPr>
        <w:t>The selection and evaluation of the Chief Executive Officer (CEO) are critical functions performed by the Governing Board, as articulated in the board policy for Chancellor Selection</w:t>
      </w:r>
      <w:r>
        <w:rPr>
          <w:color w:val="404040"/>
        </w:rPr>
        <w:t xml:space="preserve"> (</w:t>
      </w:r>
      <w:hyperlink r:id="rId59">
        <w:r w:rsidR="008558C6">
          <w:rPr>
            <w:color w:val="0563C1"/>
            <w:u w:val="single"/>
          </w:rPr>
          <w:t>BP 3431</w:t>
        </w:r>
      </w:hyperlink>
      <w:r>
        <w:rPr>
          <w:color w:val="404040"/>
        </w:rPr>
        <w:t xml:space="preserve">) </w:t>
      </w:r>
      <w:r>
        <w:rPr>
          <w:color w:val="000000"/>
        </w:rPr>
        <w:t xml:space="preserve">and in the board policy and administrative procedures for Evaluation of </w:t>
      </w:r>
      <w:r>
        <w:rPr>
          <w:color w:val="000000"/>
        </w:rPr>
        <w:lastRenderedPageBreak/>
        <w:t>the Chancellor</w:t>
      </w:r>
      <w:r>
        <w:rPr>
          <w:color w:val="404040"/>
        </w:rPr>
        <w:t xml:space="preserve"> (</w:t>
      </w:r>
      <w:hyperlink r:id="rId60">
        <w:r w:rsidR="008558C6">
          <w:rPr>
            <w:color w:val="0563C1"/>
            <w:u w:val="single"/>
          </w:rPr>
          <w:t>BP 2435</w:t>
        </w:r>
      </w:hyperlink>
      <w:r>
        <w:rPr>
          <w:color w:val="404040"/>
        </w:rPr>
        <w:t xml:space="preserve">, </w:t>
      </w:r>
      <w:hyperlink r:id="rId61">
        <w:r w:rsidR="008558C6">
          <w:rPr>
            <w:color w:val="0563C1"/>
            <w:u w:val="single"/>
          </w:rPr>
          <w:t>AP 2435</w:t>
        </w:r>
      </w:hyperlink>
      <w:r>
        <w:rPr>
          <w:color w:val="404040"/>
        </w:rPr>
        <w:t xml:space="preserve">). </w:t>
      </w:r>
      <w:r>
        <w:rPr>
          <w:color w:val="000000"/>
        </w:rPr>
        <w:t>The board implements a fair and open search process for selecting the Chancellor, adhering to state and federal regulations. This process ensures the selection of a leader aligned with the college's mission and strategic goals.</w:t>
      </w:r>
    </w:p>
    <w:p w14:paraId="22317D3C" w14:textId="77777777" w:rsidR="008558C6" w:rsidRDefault="008558C6">
      <w:pPr>
        <w:pBdr>
          <w:top w:val="nil"/>
          <w:left w:val="nil"/>
          <w:bottom w:val="nil"/>
          <w:right w:val="nil"/>
          <w:between w:val="nil"/>
        </w:pBdr>
        <w:spacing w:before="39"/>
        <w:ind w:left="100" w:right="1000"/>
        <w:rPr>
          <w:color w:val="404040"/>
        </w:rPr>
      </w:pPr>
    </w:p>
    <w:p w14:paraId="5F9E37CB" w14:textId="77777777" w:rsidR="008558C6" w:rsidRDefault="00000000">
      <w:pPr>
        <w:pBdr>
          <w:top w:val="nil"/>
          <w:left w:val="nil"/>
          <w:bottom w:val="nil"/>
          <w:right w:val="nil"/>
          <w:between w:val="nil"/>
        </w:pBdr>
        <w:spacing w:before="39"/>
        <w:ind w:left="100" w:right="1000"/>
        <w:rPr>
          <w:color w:val="000000"/>
        </w:rPr>
      </w:pPr>
      <w:r>
        <w:rPr>
          <w:color w:val="000000"/>
        </w:rPr>
        <w:t>The evaluation of the Chancellor occurs at least annually and is designed to align with the contractual obligations and agreed-upon performance objectives. This evaluation process includes assessments by the Governing Board and feedback from both internal and external community members. The outcomes of these evaluations guide the continuous improvement and effective leadership of the Chancellor, ensuring that the college’s strategic objectives are met.</w:t>
      </w:r>
    </w:p>
    <w:p w14:paraId="53CF4E25" w14:textId="77777777" w:rsidR="008558C6" w:rsidRDefault="008558C6">
      <w:pPr>
        <w:pBdr>
          <w:top w:val="nil"/>
          <w:left w:val="nil"/>
          <w:bottom w:val="nil"/>
          <w:right w:val="nil"/>
          <w:between w:val="nil"/>
        </w:pBdr>
        <w:spacing w:before="1"/>
        <w:rPr>
          <w:color w:val="000000"/>
        </w:rPr>
      </w:pPr>
    </w:p>
    <w:p w14:paraId="52F5D4C1"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Delegation of Authority to the Chancellor</w:t>
      </w:r>
    </w:p>
    <w:p w14:paraId="3BEFDEDC" w14:textId="77777777" w:rsidR="008558C6" w:rsidRDefault="00000000">
      <w:pPr>
        <w:pBdr>
          <w:top w:val="nil"/>
          <w:left w:val="nil"/>
          <w:bottom w:val="nil"/>
          <w:right w:val="nil"/>
          <w:between w:val="nil"/>
        </w:pBdr>
        <w:ind w:left="100" w:right="1000"/>
        <w:rPr>
          <w:color w:val="000000"/>
        </w:rPr>
      </w:pPr>
      <w:r>
        <w:rPr>
          <w:color w:val="000000"/>
        </w:rPr>
        <w:t>Once selected, the Chancellor is granted full authority to implement board policies and execute administrative actions necessary for the effective operation of the college, as per the board policy on Delegation of Authority to the Chancellor</w:t>
      </w:r>
      <w:r>
        <w:rPr>
          <w:color w:val="404040"/>
        </w:rPr>
        <w:t xml:space="preserve"> (</w:t>
      </w:r>
      <w:hyperlink r:id="rId62">
        <w:r w:rsidR="008558C6">
          <w:rPr>
            <w:color w:val="0563C1"/>
            <w:u w:val="single"/>
          </w:rPr>
          <w:t>BP 2430</w:t>
        </w:r>
      </w:hyperlink>
      <w:r>
        <w:rPr>
          <w:color w:val="404040"/>
        </w:rPr>
        <w:t>)</w:t>
      </w:r>
      <w:r>
        <w:rPr>
          <w:color w:val="000000"/>
        </w:rPr>
        <w:t>. This policy allows the Chancellor to interpret and act on board policies when no specific direction is provided, ensuring that the Chancellor can effectively manage the institution's day-to-day operations and respond to emergent needs.</w:t>
      </w:r>
    </w:p>
    <w:p w14:paraId="7C45633A" w14:textId="77777777" w:rsidR="008558C6" w:rsidRDefault="008558C6">
      <w:pPr>
        <w:pBdr>
          <w:top w:val="nil"/>
          <w:left w:val="nil"/>
          <w:bottom w:val="nil"/>
          <w:right w:val="nil"/>
          <w:between w:val="nil"/>
        </w:pBdr>
        <w:ind w:left="100" w:right="1000"/>
        <w:rPr>
          <w:color w:val="404040"/>
        </w:rPr>
      </w:pPr>
    </w:p>
    <w:p w14:paraId="0CFCA8F3" w14:textId="77777777" w:rsidR="008558C6" w:rsidRDefault="00000000">
      <w:pPr>
        <w:pBdr>
          <w:top w:val="nil"/>
          <w:left w:val="nil"/>
          <w:bottom w:val="nil"/>
          <w:right w:val="nil"/>
          <w:between w:val="nil"/>
        </w:pBdr>
        <w:ind w:left="100" w:right="1000"/>
        <w:rPr>
          <w:color w:val="000000"/>
        </w:rPr>
      </w:pPr>
      <w:r>
        <w:rPr>
          <w:color w:val="000000"/>
        </w:rPr>
        <w:t>The delegation of authority encompasses the academic and administrative aspects and extends to fiscal and operational responsibilities as detailed in the board policy and administrative procedures on the Delegation of Authority, Business and Fiscal Affairs</w:t>
      </w:r>
      <w:r>
        <w:rPr>
          <w:color w:val="404040"/>
        </w:rPr>
        <w:t xml:space="preserve"> (</w:t>
      </w:r>
      <w:hyperlink r:id="rId63">
        <w:r w:rsidR="008558C6">
          <w:rPr>
            <w:color w:val="0563C1"/>
            <w:u w:val="single"/>
          </w:rPr>
          <w:t>BP 6100</w:t>
        </w:r>
      </w:hyperlink>
      <w:r>
        <w:rPr>
          <w:color w:val="404040"/>
        </w:rPr>
        <w:t xml:space="preserve">, </w:t>
      </w:r>
      <w:hyperlink r:id="rId64">
        <w:r w:rsidR="008558C6">
          <w:rPr>
            <w:color w:val="0563C1"/>
            <w:u w:val="single"/>
          </w:rPr>
          <w:t>AP 6100</w:t>
        </w:r>
      </w:hyperlink>
      <w:r>
        <w:rPr>
          <w:color w:val="404040"/>
        </w:rPr>
        <w:t>)</w:t>
      </w:r>
      <w:r>
        <w:rPr>
          <w:color w:val="000000"/>
        </w:rPr>
        <w:t>. This delegation ensures that the Chancellor can oversee all critical functions of the college, from financial management to academic programming, within the framework set by the Governing Board, including the authority to sign orders and other transactions on behalf of the Board as covered in the Designation of Authorized Signatures</w:t>
      </w:r>
      <w:r>
        <w:rPr>
          <w:color w:val="404040"/>
        </w:rPr>
        <w:t xml:space="preserve"> (</w:t>
      </w:r>
      <w:hyperlink r:id="rId65">
        <w:r w:rsidR="008558C6">
          <w:rPr>
            <w:color w:val="0563C1"/>
            <w:u w:val="single"/>
          </w:rPr>
          <w:t>BP 6150</w:t>
        </w:r>
      </w:hyperlink>
      <w:r>
        <w:rPr>
          <w:color w:val="404040"/>
        </w:rPr>
        <w:t>).</w:t>
      </w:r>
    </w:p>
    <w:p w14:paraId="53EA35F0" w14:textId="77777777" w:rsidR="008558C6" w:rsidRDefault="008558C6">
      <w:pPr>
        <w:pBdr>
          <w:top w:val="nil"/>
          <w:left w:val="nil"/>
          <w:bottom w:val="nil"/>
          <w:right w:val="nil"/>
          <w:between w:val="nil"/>
        </w:pBdr>
        <w:rPr>
          <w:color w:val="000000"/>
        </w:rPr>
      </w:pPr>
    </w:p>
    <w:p w14:paraId="5B2412D9"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Accountability and Information Dissemination</w:t>
      </w:r>
    </w:p>
    <w:p w14:paraId="11F406CC" w14:textId="77777777" w:rsidR="008558C6" w:rsidRDefault="00000000">
      <w:pPr>
        <w:pBdr>
          <w:top w:val="nil"/>
          <w:left w:val="nil"/>
          <w:bottom w:val="nil"/>
          <w:right w:val="nil"/>
          <w:between w:val="nil"/>
        </w:pBdr>
        <w:ind w:left="100" w:right="850"/>
        <w:rPr>
          <w:color w:val="000000"/>
        </w:rPr>
      </w:pPr>
      <w:r>
        <w:rPr>
          <w:color w:val="000000"/>
        </w:rPr>
        <w:t xml:space="preserve">The Chancellor is accountable to the Governing Board for maintaining the institutional mission and ensuring the college’s stability and quality. The board policy, Delegation of Authority to the Chancellor </w:t>
      </w:r>
      <w:r>
        <w:rPr>
          <w:color w:val="404040"/>
        </w:rPr>
        <w:t>(</w:t>
      </w:r>
      <w:hyperlink r:id="rId66">
        <w:r w:rsidR="008558C6">
          <w:rPr>
            <w:color w:val="0563C1"/>
            <w:u w:val="single"/>
          </w:rPr>
          <w:t>BP 2430</w:t>
        </w:r>
      </w:hyperlink>
      <w:r>
        <w:rPr>
          <w:color w:val="404040"/>
        </w:rPr>
        <w:t>)</w:t>
      </w:r>
      <w:r>
        <w:rPr>
          <w:color w:val="000000"/>
        </w:rPr>
        <w:t>, also stipulates that the Chancellor must keep the board well-informed, providing timely information and reports necessary for board decisions. This includes regular updates on financial statuses, institutional effectiveness, and strategic initiatives.</w:t>
      </w:r>
    </w:p>
    <w:p w14:paraId="59B56C2A" w14:textId="77777777" w:rsidR="008558C6" w:rsidRDefault="008558C6">
      <w:pPr>
        <w:pBdr>
          <w:top w:val="nil"/>
          <w:left w:val="nil"/>
          <w:bottom w:val="nil"/>
          <w:right w:val="nil"/>
          <w:between w:val="nil"/>
        </w:pBdr>
        <w:rPr>
          <w:color w:val="000000"/>
        </w:rPr>
      </w:pPr>
    </w:p>
    <w:p w14:paraId="20037FF8" w14:textId="77777777" w:rsidR="008558C6" w:rsidRDefault="00000000">
      <w:pPr>
        <w:pStyle w:val="Heading2"/>
        <w:numPr>
          <w:ilvl w:val="1"/>
          <w:numId w:val="1"/>
        </w:numPr>
        <w:spacing w:line="259" w:lineRule="auto"/>
        <w:ind w:left="634" w:right="994" w:hanging="533"/>
        <w:rPr>
          <w:rFonts w:ascii="Carlito" w:eastAsia="Carlito" w:hAnsi="Carlito" w:cs="Carlito"/>
          <w:b/>
          <w:color w:val="000000"/>
          <w:sz w:val="22"/>
          <w:szCs w:val="22"/>
        </w:rPr>
      </w:pPr>
      <w:r>
        <w:rPr>
          <w:rFonts w:ascii="Carlito" w:eastAsia="Carlito" w:hAnsi="Carlito" w:cs="Carlito"/>
          <w:b/>
          <w:color w:val="000000"/>
          <w:sz w:val="22"/>
          <w:szCs w:val="22"/>
        </w:rPr>
        <w:t>The governing board functions effectively as a collective entity to promote the institution’s values and mission and fulfill its fiduciary responsibilities. The governing board demonstrates an ability to self-govern in adherence to its bylaws and expectations for best practices in board governance. (ER 7)</w:t>
      </w:r>
    </w:p>
    <w:p w14:paraId="41511879" w14:textId="77777777" w:rsidR="008558C6" w:rsidRDefault="008558C6">
      <w:pPr>
        <w:pBdr>
          <w:top w:val="nil"/>
          <w:left w:val="nil"/>
          <w:bottom w:val="nil"/>
          <w:right w:val="nil"/>
          <w:between w:val="nil"/>
        </w:pBdr>
        <w:rPr>
          <w:b/>
          <w:color w:val="000000"/>
        </w:rPr>
      </w:pPr>
    </w:p>
    <w:p w14:paraId="5F24A974"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Effective Board Governance and Fiduciary Oversight</w:t>
      </w:r>
    </w:p>
    <w:p w14:paraId="1C85BCA1" w14:textId="77777777" w:rsidR="008558C6" w:rsidRDefault="00000000">
      <w:pPr>
        <w:pBdr>
          <w:top w:val="nil"/>
          <w:left w:val="nil"/>
          <w:bottom w:val="nil"/>
          <w:right w:val="nil"/>
          <w:between w:val="nil"/>
        </w:pBdr>
        <w:spacing w:before="1"/>
        <w:ind w:left="100" w:right="850"/>
        <w:rPr>
          <w:color w:val="000000"/>
        </w:rPr>
      </w:pPr>
      <w:r>
        <w:rPr>
          <w:color w:val="000000"/>
        </w:rPr>
        <w:t>At Grossmont, the Governing Board upholds a structured framework through the board policy and administrative procedure on Participation in Local Decision-Making (</w:t>
      </w:r>
      <w:hyperlink r:id="rId67">
        <w:r w:rsidR="008558C6">
          <w:rPr>
            <w:color w:val="0563C1"/>
            <w:u w:val="single"/>
          </w:rPr>
          <w:t>BP 2510</w:t>
        </w:r>
      </w:hyperlink>
      <w:r>
        <w:rPr>
          <w:color w:val="000000"/>
        </w:rPr>
        <w:t xml:space="preserve">, </w:t>
      </w:r>
      <w:hyperlink r:id="rId68">
        <w:r w:rsidR="008558C6">
          <w:rPr>
            <w:color w:val="0563C1"/>
            <w:u w:val="single"/>
          </w:rPr>
          <w:t>AP 2510</w:t>
        </w:r>
      </w:hyperlink>
      <w:r>
        <w:rPr>
          <w:color w:val="000000"/>
        </w:rPr>
        <w:t xml:space="preserve">). This policy underpins the Board's commitment to effective participatory governance, which is essential in fostering an inclusive decision-making environment. The Board ensures that all significant stakeholders, including the Academic Senate, administrators, staff, and students, </w:t>
      </w:r>
      <w:r>
        <w:rPr>
          <w:color w:val="000000"/>
        </w:rPr>
        <w:lastRenderedPageBreak/>
        <w:t>are integral to the policy development process, thereby strengthening the institution’s commitment to equitable and informed decision-making.</w:t>
      </w:r>
    </w:p>
    <w:p w14:paraId="51A23F22" w14:textId="77777777" w:rsidR="008558C6" w:rsidRDefault="008558C6">
      <w:pPr>
        <w:pBdr>
          <w:top w:val="nil"/>
          <w:left w:val="nil"/>
          <w:bottom w:val="nil"/>
          <w:right w:val="nil"/>
          <w:between w:val="nil"/>
        </w:pBdr>
        <w:spacing w:before="1"/>
        <w:ind w:left="100" w:right="850"/>
        <w:rPr>
          <w:color w:val="000000"/>
        </w:rPr>
      </w:pPr>
    </w:p>
    <w:p w14:paraId="585CE29A"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Board’s Roles and Responsibilities</w:t>
      </w:r>
    </w:p>
    <w:p w14:paraId="7E6E1352" w14:textId="77777777" w:rsidR="008558C6" w:rsidRDefault="00000000">
      <w:pPr>
        <w:pBdr>
          <w:top w:val="nil"/>
          <w:left w:val="nil"/>
          <w:bottom w:val="nil"/>
          <w:right w:val="nil"/>
          <w:between w:val="nil"/>
        </w:pBdr>
        <w:ind w:left="100" w:right="791"/>
        <w:rPr>
          <w:color w:val="000000"/>
        </w:rPr>
      </w:pPr>
      <w:r>
        <w:rPr>
          <w:color w:val="000000"/>
        </w:rPr>
        <w:t>The Board's diverse responsibilities are explicitly outlined in the policy Board Duties and Responsibilities (</w:t>
      </w:r>
      <w:hyperlink r:id="rId69">
        <w:r w:rsidR="008558C6">
          <w:rPr>
            <w:color w:val="0563C1"/>
            <w:u w:val="single"/>
          </w:rPr>
          <w:t>BP 2200</w:t>
        </w:r>
      </w:hyperlink>
      <w:r>
        <w:rPr>
          <w:color w:val="000000"/>
        </w:rPr>
        <w:t>). This policy details the Board’s commitment to represent the public interest and to maintain an anti-racist and ethical governance environment. Responsibilities include establishing policies defining the institutional mission, hiring and evaluating the Chancellor, ensuring fiscal health, monitoring institutional performance, and advocating for the district. This thorough framework ensures that the Board effectively supports and advances the mission of Grossmont.</w:t>
      </w:r>
    </w:p>
    <w:p w14:paraId="5FE827C6" w14:textId="77777777" w:rsidR="008558C6" w:rsidRDefault="008558C6">
      <w:pPr>
        <w:pBdr>
          <w:top w:val="nil"/>
          <w:left w:val="nil"/>
          <w:bottom w:val="nil"/>
          <w:right w:val="nil"/>
          <w:between w:val="nil"/>
        </w:pBdr>
        <w:spacing w:before="39"/>
        <w:ind w:left="100" w:right="983"/>
        <w:rPr>
          <w:color w:val="000000"/>
        </w:rPr>
      </w:pPr>
    </w:p>
    <w:p w14:paraId="684AC1DA" w14:textId="77777777" w:rsidR="008558C6" w:rsidRDefault="00000000">
      <w:pPr>
        <w:pBdr>
          <w:top w:val="nil"/>
          <w:left w:val="nil"/>
          <w:bottom w:val="nil"/>
          <w:right w:val="nil"/>
          <w:between w:val="nil"/>
        </w:pBdr>
        <w:ind w:left="101" w:right="1051"/>
        <w:rPr>
          <w:b/>
          <w:color w:val="007E5D"/>
          <w:sz w:val="24"/>
          <w:szCs w:val="24"/>
        </w:rPr>
      </w:pPr>
      <w:proofErr w:type="gramStart"/>
      <w:r>
        <w:rPr>
          <w:b/>
          <w:color w:val="007E5D"/>
          <w:sz w:val="24"/>
          <w:szCs w:val="24"/>
        </w:rPr>
        <w:t>Board</w:t>
      </w:r>
      <w:proofErr w:type="gramEnd"/>
      <w:r>
        <w:rPr>
          <w:b/>
          <w:color w:val="007E5D"/>
          <w:sz w:val="24"/>
          <w:szCs w:val="24"/>
        </w:rPr>
        <w:t xml:space="preserve"> Self-Evaluation and Education</w:t>
      </w:r>
    </w:p>
    <w:p w14:paraId="16FBA9C1" w14:textId="77777777" w:rsidR="008558C6" w:rsidRDefault="00000000">
      <w:pPr>
        <w:pBdr>
          <w:top w:val="nil"/>
          <w:left w:val="nil"/>
          <w:bottom w:val="nil"/>
          <w:right w:val="nil"/>
          <w:between w:val="nil"/>
        </w:pBdr>
        <w:spacing w:before="39"/>
        <w:ind w:left="100" w:right="983"/>
        <w:rPr>
          <w:color w:val="000000"/>
        </w:rPr>
      </w:pPr>
      <w:r>
        <w:rPr>
          <w:color w:val="000000"/>
        </w:rPr>
        <w:t>To maintain governance excellence, the Board engages in regular self-evaluations as dictated by the policy and procedures regarding Board Self-Evaluation (</w:t>
      </w:r>
      <w:hyperlink r:id="rId70">
        <w:r w:rsidR="008558C6">
          <w:rPr>
            <w:color w:val="0563C1"/>
            <w:u w:val="single"/>
          </w:rPr>
          <w:t>BP 2745</w:t>
        </w:r>
      </w:hyperlink>
      <w:r>
        <w:rPr>
          <w:color w:val="000000"/>
        </w:rPr>
        <w:t xml:space="preserve">, </w:t>
      </w:r>
      <w:hyperlink r:id="rId71">
        <w:r w:rsidR="008558C6">
          <w:rPr>
            <w:color w:val="0563C1"/>
            <w:u w:val="single"/>
          </w:rPr>
          <w:t>AP 2745</w:t>
        </w:r>
      </w:hyperlink>
      <w:r>
        <w:rPr>
          <w:color w:val="000000"/>
        </w:rPr>
        <w:t>). This process is key for continuous improvement and accountability. Additionally, the board policy and procedures on Board Education (</w:t>
      </w:r>
      <w:hyperlink r:id="rId72">
        <w:r w:rsidR="008558C6">
          <w:rPr>
            <w:color w:val="0563C1"/>
            <w:u w:val="single"/>
          </w:rPr>
          <w:t>BP 2740</w:t>
        </w:r>
      </w:hyperlink>
      <w:r>
        <w:rPr>
          <w:color w:val="000000"/>
        </w:rPr>
        <w:t xml:space="preserve">, </w:t>
      </w:r>
      <w:hyperlink r:id="rId73">
        <w:r w:rsidR="008558C6">
          <w:rPr>
            <w:color w:val="0563C1"/>
            <w:u w:val="single"/>
          </w:rPr>
          <w:t>AP 2740</w:t>
        </w:r>
      </w:hyperlink>
      <w:r>
        <w:rPr>
          <w:color w:val="000000"/>
        </w:rPr>
        <w:t>) ensure that both new and continuing Board members receive thorough orientations and ongoing training. This policy covers a wide range of essential topics, from the roles and responsibilities of Board members to their involvement in diversity, equity, inclusion, and anti-racism initiatives, ensuring that Board members are well-prepared to govern effectively.</w:t>
      </w:r>
    </w:p>
    <w:p w14:paraId="4FAC179F" w14:textId="77777777" w:rsidR="008558C6" w:rsidRDefault="008558C6">
      <w:pPr>
        <w:pBdr>
          <w:top w:val="nil"/>
          <w:left w:val="nil"/>
          <w:bottom w:val="nil"/>
          <w:right w:val="nil"/>
          <w:between w:val="nil"/>
        </w:pBdr>
        <w:spacing w:before="39"/>
        <w:ind w:left="100" w:right="983"/>
        <w:rPr>
          <w:color w:val="000000"/>
        </w:rPr>
      </w:pPr>
    </w:p>
    <w:p w14:paraId="181305AE"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Oversight and Implementation of Board Policies</w:t>
      </w:r>
    </w:p>
    <w:p w14:paraId="2CCDB2AA" w14:textId="77777777" w:rsidR="008558C6" w:rsidRDefault="00000000">
      <w:pPr>
        <w:pBdr>
          <w:top w:val="nil"/>
          <w:left w:val="nil"/>
          <w:bottom w:val="nil"/>
          <w:right w:val="nil"/>
          <w:between w:val="nil"/>
        </w:pBdr>
        <w:ind w:left="100" w:right="1035"/>
        <w:rPr>
          <w:color w:val="000000"/>
        </w:rPr>
      </w:pPr>
      <w:r>
        <w:rPr>
          <w:color w:val="000000"/>
        </w:rPr>
        <w:t>The Board delegates the operational responsibility to the Chancellor through the board policy regarding Delegation of Authority to the Chancellor (</w:t>
      </w:r>
      <w:hyperlink r:id="rId74">
        <w:r w:rsidR="008558C6">
          <w:rPr>
            <w:color w:val="0563C1"/>
            <w:u w:val="single"/>
          </w:rPr>
          <w:t>BP 2430</w:t>
        </w:r>
      </w:hyperlink>
      <w:r>
        <w:rPr>
          <w:color w:val="000000"/>
        </w:rPr>
        <w:t>). This delegation includes the full authority to implement board policies and decisions, which allows the Chancellor to lead the district efficiently while remaining accountable to the Board for all executive actions. The Chancellor's role includes interpreting board policies in situations where direct board guidance is unavailable, further ensuring that the Board’s strategic decisions are implemented effectively.</w:t>
      </w:r>
    </w:p>
    <w:p w14:paraId="6A4BDE0D" w14:textId="77777777" w:rsidR="008558C6" w:rsidRDefault="008558C6">
      <w:pPr>
        <w:pBdr>
          <w:top w:val="nil"/>
          <w:left w:val="nil"/>
          <w:bottom w:val="nil"/>
          <w:right w:val="nil"/>
          <w:between w:val="nil"/>
        </w:pBdr>
        <w:ind w:left="100" w:right="1035"/>
        <w:rPr>
          <w:color w:val="000000"/>
        </w:rPr>
      </w:pPr>
    </w:p>
    <w:p w14:paraId="7B927EB2" w14:textId="77777777" w:rsidR="008558C6" w:rsidRDefault="00000000">
      <w:pPr>
        <w:pBdr>
          <w:top w:val="nil"/>
          <w:left w:val="nil"/>
          <w:bottom w:val="nil"/>
          <w:right w:val="nil"/>
          <w:between w:val="nil"/>
        </w:pBdr>
        <w:ind w:left="101" w:right="1051"/>
        <w:rPr>
          <w:b/>
          <w:color w:val="007E5D"/>
          <w:sz w:val="24"/>
          <w:szCs w:val="24"/>
        </w:rPr>
      </w:pPr>
      <w:r>
        <w:rPr>
          <w:b/>
          <w:color w:val="007E5D"/>
          <w:sz w:val="24"/>
          <w:szCs w:val="24"/>
        </w:rPr>
        <w:t>Transparency and Communication</w:t>
      </w:r>
    </w:p>
    <w:p w14:paraId="3E137B09" w14:textId="77777777" w:rsidR="008558C6" w:rsidRDefault="00000000">
      <w:pPr>
        <w:pBdr>
          <w:top w:val="nil"/>
          <w:left w:val="nil"/>
          <w:bottom w:val="nil"/>
          <w:right w:val="nil"/>
          <w:between w:val="nil"/>
        </w:pBdr>
        <w:ind w:left="101" w:right="835"/>
        <w:rPr>
          <w:color w:val="000000"/>
        </w:rPr>
      </w:pPr>
      <w:r>
        <w:rPr>
          <w:color w:val="000000"/>
        </w:rPr>
        <w:t xml:space="preserve">The </w:t>
      </w:r>
      <w:hyperlink r:id="rId75">
        <w:r w:rsidR="008558C6">
          <w:rPr>
            <w:color w:val="0563C1"/>
            <w:u w:val="single"/>
          </w:rPr>
          <w:t>District Governance Handbook</w:t>
        </w:r>
      </w:hyperlink>
      <w:r>
        <w:rPr>
          <w:color w:val="000000"/>
        </w:rPr>
        <w:t xml:space="preserve"> further supports the Board's decision-making processes by detailing cooperative and principled approaches that respect and involve all district community members. This handbook serves as a cornerstone for ensuring transparency and effective communication within the governance structure, reinforcing the collective focus on student learning and success as the paramount mission.</w:t>
      </w:r>
    </w:p>
    <w:p w14:paraId="0C63D23A" w14:textId="77777777" w:rsidR="008558C6" w:rsidRDefault="008558C6">
      <w:pPr>
        <w:pBdr>
          <w:top w:val="nil"/>
          <w:left w:val="nil"/>
          <w:bottom w:val="nil"/>
          <w:right w:val="nil"/>
          <w:between w:val="nil"/>
        </w:pBdr>
        <w:ind w:left="101" w:right="835"/>
        <w:rPr>
          <w:color w:val="000000"/>
        </w:rPr>
      </w:pPr>
    </w:p>
    <w:p w14:paraId="6C84B942" w14:textId="77777777" w:rsidR="008558C6" w:rsidRDefault="00000000">
      <w:pPr>
        <w:pBdr>
          <w:top w:val="nil"/>
          <w:left w:val="nil"/>
          <w:bottom w:val="nil"/>
          <w:right w:val="nil"/>
          <w:between w:val="nil"/>
        </w:pBdr>
        <w:ind w:left="101" w:right="835"/>
        <w:rPr>
          <w:color w:val="000000"/>
        </w:rPr>
      </w:pPr>
      <w:r>
        <w:rPr>
          <w:color w:val="000000"/>
        </w:rPr>
        <w:t>Ultimately, the Grossmont College Governing Board functions as a cohesive entity that prioritizes the college's mission and values through robust policy frameworks and governance structures while demonstrating a commitment to self-governance and continuous improvement. This integrated and thorough approach ensures that the Board remains effective in fulfilling its fiduciary responsibilities and advancing equitable student outcomes.</w:t>
      </w:r>
    </w:p>
    <w:p w14:paraId="3AC4100A" w14:textId="77777777" w:rsidR="008558C6" w:rsidRDefault="008558C6"/>
    <w:sectPr w:rsidR="008558C6">
      <w:footerReference w:type="default" r:id="rId7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1CDCF" w14:textId="77777777" w:rsidR="008A21CC" w:rsidRDefault="008A21CC">
      <w:r>
        <w:separator/>
      </w:r>
    </w:p>
  </w:endnote>
  <w:endnote w:type="continuationSeparator" w:id="0">
    <w:p w14:paraId="652CFA81" w14:textId="77777777" w:rsidR="008A21CC" w:rsidRDefault="008A2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rlito">
    <w:altName w:val="Calibri"/>
    <w:charset w:val="00"/>
    <w:family w:val="auto"/>
    <w:pitch w:val="default"/>
    <w:embedRegular r:id="rId1" w:fontKey="{AF0A13F2-6ACB-4545-A6C7-AB28FCC7D709}"/>
    <w:embedBold r:id="rId2" w:fontKey="{E9B7AAED-FD47-4924-91EF-E069C1BA35ED}"/>
    <w:embedItalic r:id="rId3" w:fontKey="{82294171-B720-492E-B633-35D5B7A81FCA}"/>
    <w:embedBoldItalic r:id="rId4" w:fontKey="{9A1EEF44-0194-477F-BBB9-106E687342A2}"/>
  </w:font>
  <w:font w:name="Noto Sans Symbols">
    <w:altName w:val="Calibri"/>
    <w:charset w:val="00"/>
    <w:family w:val="auto"/>
    <w:pitch w:val="default"/>
    <w:embedRegular r:id="rId5" w:fontKey="{05AF7E07-5568-447D-A9BE-09B5F27DA815}"/>
  </w:font>
  <w:font w:name="Aptos Display">
    <w:charset w:val="00"/>
    <w:family w:val="swiss"/>
    <w:pitch w:val="variable"/>
    <w:sig w:usb0="20000287" w:usb1="00000003" w:usb2="00000000" w:usb3="00000000" w:csb0="0000019F" w:csb1="00000000"/>
    <w:embedRegular r:id="rId6" w:fontKey="{8B994D5F-FBCA-459F-96F5-8035981D09FD}"/>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D655E89E-66C1-45DC-ADA0-79ED8A20CD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2015F" w14:textId="77777777" w:rsidR="008558C6"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53DDC">
      <w:rPr>
        <w:noProof/>
        <w:color w:val="000000"/>
      </w:rPr>
      <w:t>1</w:t>
    </w:r>
    <w:r>
      <w:rPr>
        <w:color w:val="000000"/>
      </w:rPr>
      <w:fldChar w:fldCharType="end"/>
    </w:r>
  </w:p>
  <w:p w14:paraId="6A3B778B" w14:textId="77777777" w:rsidR="008558C6" w:rsidRDefault="008558C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B869A" w14:textId="77777777" w:rsidR="008A21CC" w:rsidRDefault="008A21CC">
      <w:r>
        <w:separator/>
      </w:r>
    </w:p>
  </w:footnote>
  <w:footnote w:type="continuationSeparator" w:id="0">
    <w:p w14:paraId="38E42D20" w14:textId="77777777" w:rsidR="008A21CC" w:rsidRDefault="008A21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60F71"/>
    <w:multiLevelType w:val="multilevel"/>
    <w:tmpl w:val="1F705976"/>
    <w:lvl w:ilvl="0">
      <w:start w:val="4"/>
      <w:numFmt w:val="decimal"/>
      <w:lvlText w:val="%1"/>
      <w:lvlJc w:val="left"/>
      <w:pPr>
        <w:ind w:left="460" w:hanging="360"/>
      </w:pPr>
    </w:lvl>
    <w:lvl w:ilvl="1">
      <w:start w:val="1"/>
      <w:numFmt w:val="decimal"/>
      <w:lvlText w:val="%1.%2."/>
      <w:lvlJc w:val="left"/>
      <w:pPr>
        <w:ind w:left="460" w:hanging="360"/>
      </w:pPr>
      <w:rPr>
        <w:rFonts w:ascii="Carlito" w:eastAsia="Carlito" w:hAnsi="Carlito" w:cs="Carlito"/>
        <w:b/>
        <w:i w:val="0"/>
        <w:sz w:val="22"/>
        <w:szCs w:val="22"/>
      </w:rPr>
    </w:lvl>
    <w:lvl w:ilvl="2">
      <w:numFmt w:val="bullet"/>
      <w:lvlText w:val="●"/>
      <w:lvlJc w:val="left"/>
      <w:pPr>
        <w:ind w:left="820" w:hanging="360"/>
      </w:pPr>
      <w:rPr>
        <w:rFonts w:ascii="Noto Sans Symbols" w:eastAsia="Noto Sans Symbols" w:hAnsi="Noto Sans Symbols" w:cs="Noto Sans Symbols"/>
        <w:b w:val="0"/>
        <w:i w:val="0"/>
        <w:sz w:val="20"/>
        <w:szCs w:val="20"/>
      </w:rPr>
    </w:lvl>
    <w:lvl w:ilvl="3">
      <w:numFmt w:val="bullet"/>
      <w:lvlText w:val="•"/>
      <w:lvlJc w:val="left"/>
      <w:pPr>
        <w:ind w:left="2917" w:hanging="360"/>
      </w:pPr>
    </w:lvl>
    <w:lvl w:ilvl="4">
      <w:numFmt w:val="bullet"/>
      <w:lvlText w:val="•"/>
      <w:lvlJc w:val="left"/>
      <w:pPr>
        <w:ind w:left="3966" w:hanging="360"/>
      </w:pPr>
    </w:lvl>
    <w:lvl w:ilvl="5">
      <w:numFmt w:val="bullet"/>
      <w:lvlText w:val="•"/>
      <w:lvlJc w:val="left"/>
      <w:pPr>
        <w:ind w:left="5015" w:hanging="360"/>
      </w:pPr>
    </w:lvl>
    <w:lvl w:ilvl="6">
      <w:numFmt w:val="bullet"/>
      <w:lvlText w:val="•"/>
      <w:lvlJc w:val="left"/>
      <w:pPr>
        <w:ind w:left="6064" w:hanging="360"/>
      </w:pPr>
    </w:lvl>
    <w:lvl w:ilvl="7">
      <w:numFmt w:val="bullet"/>
      <w:lvlText w:val="•"/>
      <w:lvlJc w:val="left"/>
      <w:pPr>
        <w:ind w:left="7113" w:hanging="360"/>
      </w:pPr>
    </w:lvl>
    <w:lvl w:ilvl="8">
      <w:numFmt w:val="bullet"/>
      <w:lvlText w:val="•"/>
      <w:lvlJc w:val="left"/>
      <w:pPr>
        <w:ind w:left="8162" w:hanging="360"/>
      </w:pPr>
    </w:lvl>
  </w:abstractNum>
  <w:abstractNum w:abstractNumId="1" w15:restartNumberingAfterBreak="0">
    <w:nsid w:val="1A4155FB"/>
    <w:multiLevelType w:val="multilevel"/>
    <w:tmpl w:val="7924F506"/>
    <w:lvl w:ilvl="0">
      <w:start w:val="1"/>
      <w:numFmt w:val="upperLetter"/>
      <w:lvlText w:val="%1."/>
      <w:lvlJc w:val="left"/>
      <w:pPr>
        <w:ind w:left="460" w:hanging="360"/>
      </w:pPr>
      <w:rPr>
        <w:rFonts w:ascii="Carlito" w:eastAsia="Carlito" w:hAnsi="Carlito" w:cs="Carlito"/>
        <w:b/>
        <w:i w:val="0"/>
        <w:sz w:val="28"/>
        <w:szCs w:val="28"/>
      </w:rPr>
    </w:lvl>
    <w:lvl w:ilvl="1">
      <w:numFmt w:val="bullet"/>
      <w:lvlText w:val="•"/>
      <w:lvlJc w:val="left"/>
      <w:pPr>
        <w:ind w:left="1440" w:hanging="360"/>
      </w:pPr>
    </w:lvl>
    <w:lvl w:ilvl="2">
      <w:numFmt w:val="bullet"/>
      <w:lvlText w:val="•"/>
      <w:lvlJc w:val="left"/>
      <w:pPr>
        <w:ind w:left="2420" w:hanging="360"/>
      </w:pPr>
    </w:lvl>
    <w:lvl w:ilvl="3">
      <w:numFmt w:val="bullet"/>
      <w:lvlText w:val="•"/>
      <w:lvlJc w:val="left"/>
      <w:pPr>
        <w:ind w:left="3400" w:hanging="360"/>
      </w:pPr>
    </w:lvl>
    <w:lvl w:ilvl="4">
      <w:numFmt w:val="bullet"/>
      <w:lvlText w:val="•"/>
      <w:lvlJc w:val="left"/>
      <w:pPr>
        <w:ind w:left="4380" w:hanging="360"/>
      </w:pPr>
    </w:lvl>
    <w:lvl w:ilvl="5">
      <w:numFmt w:val="bullet"/>
      <w:lvlText w:val="•"/>
      <w:lvlJc w:val="left"/>
      <w:pPr>
        <w:ind w:left="5360" w:hanging="360"/>
      </w:pPr>
    </w:lvl>
    <w:lvl w:ilvl="6">
      <w:numFmt w:val="bullet"/>
      <w:lvlText w:val="•"/>
      <w:lvlJc w:val="left"/>
      <w:pPr>
        <w:ind w:left="6340" w:hanging="360"/>
      </w:pPr>
    </w:lvl>
    <w:lvl w:ilvl="7">
      <w:numFmt w:val="bullet"/>
      <w:lvlText w:val="•"/>
      <w:lvlJc w:val="left"/>
      <w:pPr>
        <w:ind w:left="7320" w:hanging="360"/>
      </w:pPr>
    </w:lvl>
    <w:lvl w:ilvl="8">
      <w:numFmt w:val="bullet"/>
      <w:lvlText w:val="•"/>
      <w:lvlJc w:val="left"/>
      <w:pPr>
        <w:ind w:left="8300" w:hanging="360"/>
      </w:pPr>
    </w:lvl>
  </w:abstractNum>
  <w:num w:numId="1" w16cid:durableId="2018998865">
    <w:abstractNumId w:val="0"/>
  </w:num>
  <w:num w:numId="2" w16cid:durableId="9622676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8C6"/>
    <w:rsid w:val="00243EAB"/>
    <w:rsid w:val="003104E6"/>
    <w:rsid w:val="00553DDC"/>
    <w:rsid w:val="00833047"/>
    <w:rsid w:val="008558C6"/>
    <w:rsid w:val="008A21CC"/>
    <w:rsid w:val="0099444C"/>
    <w:rsid w:val="00F94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5CDD7"/>
  <w15:docId w15:val="{D7993BDB-43B3-4D8B-B2A4-BBE65E382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rlito" w:eastAsia="Carlito" w:hAnsi="Carlito" w:cs="Carlito"/>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FF1"/>
    <w:pPr>
      <w:autoSpaceDE w:val="0"/>
      <w:autoSpaceDN w:val="0"/>
    </w:pPr>
  </w:style>
  <w:style w:type="paragraph" w:styleId="Heading1">
    <w:name w:val="heading 1"/>
    <w:basedOn w:val="Normal"/>
    <w:next w:val="Normal"/>
    <w:link w:val="Heading1Char"/>
    <w:uiPriority w:val="9"/>
    <w:qFormat/>
    <w:rsid w:val="00E50F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50F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0F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0F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0F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0FF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0FF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0FF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0FF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50FF1"/>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50F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0F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0F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0F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0F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0F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0F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0F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0FF1"/>
    <w:rPr>
      <w:rFonts w:eastAsiaTheme="majorEastAsia" w:cstheme="majorBidi"/>
      <w:color w:val="272727" w:themeColor="text1" w:themeTint="D8"/>
    </w:rPr>
  </w:style>
  <w:style w:type="character" w:customStyle="1" w:styleId="TitleChar">
    <w:name w:val="Title Char"/>
    <w:basedOn w:val="DefaultParagraphFont"/>
    <w:link w:val="Title"/>
    <w:uiPriority w:val="10"/>
    <w:rsid w:val="00E50F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50F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0FF1"/>
    <w:pPr>
      <w:spacing w:before="160"/>
      <w:jc w:val="center"/>
    </w:pPr>
    <w:rPr>
      <w:i/>
      <w:iCs/>
      <w:color w:val="404040" w:themeColor="text1" w:themeTint="BF"/>
    </w:rPr>
  </w:style>
  <w:style w:type="character" w:customStyle="1" w:styleId="QuoteChar">
    <w:name w:val="Quote Char"/>
    <w:basedOn w:val="DefaultParagraphFont"/>
    <w:link w:val="Quote"/>
    <w:uiPriority w:val="29"/>
    <w:rsid w:val="00E50FF1"/>
    <w:rPr>
      <w:i/>
      <w:iCs/>
      <w:color w:val="404040" w:themeColor="text1" w:themeTint="BF"/>
    </w:rPr>
  </w:style>
  <w:style w:type="paragraph" w:styleId="ListParagraph">
    <w:name w:val="List Paragraph"/>
    <w:basedOn w:val="Normal"/>
    <w:uiPriority w:val="1"/>
    <w:qFormat/>
    <w:rsid w:val="00E50FF1"/>
    <w:pPr>
      <w:ind w:left="720"/>
      <w:contextualSpacing/>
    </w:pPr>
  </w:style>
  <w:style w:type="character" w:styleId="IntenseEmphasis">
    <w:name w:val="Intense Emphasis"/>
    <w:basedOn w:val="DefaultParagraphFont"/>
    <w:uiPriority w:val="21"/>
    <w:qFormat/>
    <w:rsid w:val="00E50FF1"/>
    <w:rPr>
      <w:i/>
      <w:iCs/>
      <w:color w:val="0F4761" w:themeColor="accent1" w:themeShade="BF"/>
    </w:rPr>
  </w:style>
  <w:style w:type="paragraph" w:styleId="IntenseQuote">
    <w:name w:val="Intense Quote"/>
    <w:basedOn w:val="Normal"/>
    <w:next w:val="Normal"/>
    <w:link w:val="IntenseQuoteChar"/>
    <w:uiPriority w:val="30"/>
    <w:qFormat/>
    <w:rsid w:val="00E50F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0FF1"/>
    <w:rPr>
      <w:i/>
      <w:iCs/>
      <w:color w:val="0F4761" w:themeColor="accent1" w:themeShade="BF"/>
    </w:rPr>
  </w:style>
  <w:style w:type="character" w:styleId="IntenseReference">
    <w:name w:val="Intense Reference"/>
    <w:basedOn w:val="DefaultParagraphFont"/>
    <w:uiPriority w:val="32"/>
    <w:qFormat/>
    <w:rsid w:val="00E50FF1"/>
    <w:rPr>
      <w:b/>
      <w:bCs/>
      <w:smallCaps/>
      <w:color w:val="0F4761" w:themeColor="accent1" w:themeShade="BF"/>
      <w:spacing w:val="5"/>
    </w:rPr>
  </w:style>
  <w:style w:type="paragraph" w:styleId="TOC1">
    <w:name w:val="toc 1"/>
    <w:basedOn w:val="Normal"/>
    <w:uiPriority w:val="1"/>
    <w:qFormat/>
    <w:rsid w:val="00E50FF1"/>
    <w:pPr>
      <w:spacing w:before="120"/>
      <w:ind w:left="458" w:hanging="358"/>
    </w:pPr>
  </w:style>
  <w:style w:type="paragraph" w:styleId="TOC2">
    <w:name w:val="toc 2"/>
    <w:basedOn w:val="Normal"/>
    <w:uiPriority w:val="1"/>
    <w:qFormat/>
    <w:rsid w:val="00E50FF1"/>
    <w:pPr>
      <w:spacing w:before="60"/>
      <w:ind w:left="460"/>
    </w:pPr>
  </w:style>
  <w:style w:type="paragraph" w:styleId="BodyText">
    <w:name w:val="Body Text"/>
    <w:basedOn w:val="Normal"/>
    <w:link w:val="BodyTextChar"/>
    <w:uiPriority w:val="1"/>
    <w:qFormat/>
    <w:rsid w:val="00E50FF1"/>
    <w:pPr>
      <w:ind w:left="100"/>
    </w:pPr>
  </w:style>
  <w:style w:type="character" w:customStyle="1" w:styleId="BodyTextChar">
    <w:name w:val="Body Text Char"/>
    <w:basedOn w:val="DefaultParagraphFont"/>
    <w:link w:val="BodyText"/>
    <w:uiPriority w:val="1"/>
    <w:rsid w:val="00E50FF1"/>
    <w:rPr>
      <w:rFonts w:ascii="Carlito" w:eastAsia="Carlito" w:hAnsi="Carlito" w:cs="Carlito"/>
      <w:kern w:val="0"/>
    </w:rPr>
  </w:style>
  <w:style w:type="paragraph" w:customStyle="1" w:styleId="TableParagraph">
    <w:name w:val="Table Paragraph"/>
    <w:basedOn w:val="Normal"/>
    <w:uiPriority w:val="1"/>
    <w:qFormat/>
    <w:rsid w:val="00E50FF1"/>
    <w:pPr>
      <w:ind w:left="267"/>
    </w:pPr>
  </w:style>
  <w:style w:type="paragraph" w:styleId="Header">
    <w:name w:val="header"/>
    <w:basedOn w:val="Normal"/>
    <w:link w:val="HeaderChar"/>
    <w:uiPriority w:val="99"/>
    <w:unhideWhenUsed/>
    <w:rsid w:val="004E7A95"/>
    <w:pPr>
      <w:tabs>
        <w:tab w:val="center" w:pos="4680"/>
        <w:tab w:val="right" w:pos="9360"/>
      </w:tabs>
    </w:pPr>
  </w:style>
  <w:style w:type="character" w:customStyle="1" w:styleId="HeaderChar">
    <w:name w:val="Header Char"/>
    <w:basedOn w:val="DefaultParagraphFont"/>
    <w:link w:val="Header"/>
    <w:uiPriority w:val="99"/>
    <w:rsid w:val="004E7A95"/>
    <w:rPr>
      <w:rFonts w:ascii="Carlito" w:eastAsia="Carlito" w:hAnsi="Carlito" w:cs="Carlito"/>
      <w:kern w:val="0"/>
    </w:rPr>
  </w:style>
  <w:style w:type="paragraph" w:styleId="Footer">
    <w:name w:val="footer"/>
    <w:basedOn w:val="Normal"/>
    <w:link w:val="FooterChar"/>
    <w:uiPriority w:val="99"/>
    <w:unhideWhenUsed/>
    <w:rsid w:val="004E7A95"/>
    <w:pPr>
      <w:tabs>
        <w:tab w:val="center" w:pos="4680"/>
        <w:tab w:val="right" w:pos="9360"/>
      </w:tabs>
    </w:pPr>
  </w:style>
  <w:style w:type="character" w:customStyle="1" w:styleId="FooterChar">
    <w:name w:val="Footer Char"/>
    <w:basedOn w:val="DefaultParagraphFont"/>
    <w:link w:val="Footer"/>
    <w:uiPriority w:val="99"/>
    <w:rsid w:val="004E7A95"/>
    <w:rPr>
      <w:rFonts w:ascii="Carlito" w:eastAsia="Carlito" w:hAnsi="Carlito" w:cs="Carlito"/>
      <w:kern w:val="0"/>
    </w:rPr>
  </w:style>
  <w:style w:type="character" w:styleId="Hyperlink">
    <w:name w:val="Hyperlink"/>
    <w:basedOn w:val="DefaultParagraphFont"/>
    <w:uiPriority w:val="99"/>
    <w:unhideWhenUsed/>
    <w:qFormat/>
    <w:rsid w:val="005B42C6"/>
    <w:rPr>
      <w:color w:val="0563C1"/>
      <w:u w:val="single"/>
    </w:rPr>
  </w:style>
  <w:style w:type="character" w:styleId="UnresolvedMention">
    <w:name w:val="Unresolved Mention"/>
    <w:basedOn w:val="DefaultParagraphFont"/>
    <w:uiPriority w:val="99"/>
    <w:semiHidden/>
    <w:unhideWhenUsed/>
    <w:rsid w:val="008F52DF"/>
    <w:rPr>
      <w:color w:val="605E5C"/>
      <w:shd w:val="clear" w:color="auto" w:fill="E1DFDD"/>
    </w:rPr>
  </w:style>
  <w:style w:type="character" w:styleId="CommentReference">
    <w:name w:val="annotation reference"/>
    <w:basedOn w:val="DefaultParagraphFont"/>
    <w:uiPriority w:val="99"/>
    <w:semiHidden/>
    <w:unhideWhenUsed/>
    <w:rsid w:val="009949C8"/>
    <w:rPr>
      <w:sz w:val="16"/>
      <w:szCs w:val="16"/>
    </w:rPr>
  </w:style>
  <w:style w:type="paragraph" w:styleId="CommentText">
    <w:name w:val="annotation text"/>
    <w:basedOn w:val="Normal"/>
    <w:link w:val="CommentTextChar"/>
    <w:uiPriority w:val="99"/>
    <w:unhideWhenUsed/>
    <w:rsid w:val="009949C8"/>
    <w:rPr>
      <w:sz w:val="20"/>
      <w:szCs w:val="20"/>
    </w:rPr>
  </w:style>
  <w:style w:type="character" w:customStyle="1" w:styleId="CommentTextChar">
    <w:name w:val="Comment Text Char"/>
    <w:basedOn w:val="DefaultParagraphFont"/>
    <w:link w:val="CommentText"/>
    <w:uiPriority w:val="99"/>
    <w:rsid w:val="009949C8"/>
    <w:rPr>
      <w:rFonts w:ascii="Carlito" w:eastAsia="Carlito" w:hAnsi="Carlito" w:cs="Carlito"/>
      <w:kern w:val="0"/>
      <w:sz w:val="20"/>
      <w:szCs w:val="20"/>
    </w:rPr>
  </w:style>
  <w:style w:type="paragraph" w:styleId="CommentSubject">
    <w:name w:val="annotation subject"/>
    <w:basedOn w:val="CommentText"/>
    <w:next w:val="CommentText"/>
    <w:link w:val="CommentSubjectChar"/>
    <w:uiPriority w:val="99"/>
    <w:semiHidden/>
    <w:unhideWhenUsed/>
    <w:rsid w:val="009949C8"/>
    <w:rPr>
      <w:b/>
      <w:bCs/>
    </w:rPr>
  </w:style>
  <w:style w:type="character" w:customStyle="1" w:styleId="CommentSubjectChar">
    <w:name w:val="Comment Subject Char"/>
    <w:basedOn w:val="CommentTextChar"/>
    <w:link w:val="CommentSubject"/>
    <w:uiPriority w:val="99"/>
    <w:semiHidden/>
    <w:rsid w:val="009949C8"/>
    <w:rPr>
      <w:rFonts w:ascii="Carlito" w:eastAsia="Carlito" w:hAnsi="Carlito" w:cs="Carlito"/>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grossmont.edu/faculty-staff/participatory-governance/index.php" TargetMode="External"/><Relationship Id="rId21" Type="http://schemas.openxmlformats.org/officeDocument/2006/relationships/hyperlink" Target="https://www.grossmont.edu/student-support/student-affairs/_resources/assets/pdf/studentconduct.pdf" TargetMode="External"/><Relationship Id="rId42" Type="http://schemas.openxmlformats.org/officeDocument/2006/relationships/hyperlink" Target="https://drive.google.com/file/d/1wgUDRRqXFVSQu9I50STS9gatr0LoIBRd/view?usp=drive_link" TargetMode="External"/><Relationship Id="rId47" Type="http://schemas.openxmlformats.org/officeDocument/2006/relationships/hyperlink" Target="https://drive.google.com/file/d/1EBMo0kQjY0jgIx0-n798ePUGRj9EV4Hd/view?usp=drive_link" TargetMode="External"/><Relationship Id="rId63" Type="http://schemas.openxmlformats.org/officeDocument/2006/relationships/hyperlink" Target="https://www.gcccd.edu/_resources/docs/governing-board/policies/ch6/BP%206100.pdf" TargetMode="External"/><Relationship Id="rId68" Type="http://schemas.openxmlformats.org/officeDocument/2006/relationships/hyperlink" Target="https://www.gcccd.edu/_resources/docs/governing-board/procedures/ch2/AP%202510.pdf" TargetMode="External"/><Relationship Id="rId16" Type="http://schemas.openxmlformats.org/officeDocument/2006/relationships/hyperlink" Target="https://www.grossmont.edu/student-support/student-affairs/student-rights-and-responsibilities.php" TargetMode="External"/><Relationship Id="rId11" Type="http://schemas.openxmlformats.org/officeDocument/2006/relationships/hyperlink" Target="https://www.gcccd.edu/_resources/docs/governing-board/policies/ch4/BP-4035.pdf" TargetMode="External"/><Relationship Id="rId24" Type="http://schemas.openxmlformats.org/officeDocument/2006/relationships/hyperlink" Target="https://www.gcccd.edu/_resources/docs/governing-board/policies/ch2/BP%202510.pdf" TargetMode="External"/><Relationship Id="rId32" Type="http://schemas.openxmlformats.org/officeDocument/2006/relationships/hyperlink" Target="https://www.grossmont.edu/faculty-staff/participatory-governance/planning-and-institutional-effectiveness/meetings.php" TargetMode="External"/><Relationship Id="rId37" Type="http://schemas.openxmlformats.org/officeDocument/2006/relationships/hyperlink" Target="https://drive.google.com/file/d/1EBMo0kQjY0jgIx0-n798ePUGRj9EV4Hd/view?usp=drive_link" TargetMode="External"/><Relationship Id="rId40" Type="http://schemas.openxmlformats.org/officeDocument/2006/relationships/hyperlink" Target="https://drive.google.com/file/d/1nB3fxKOcXkNgdOOBfr9LdLZOgPLo-XhQ/view?usp=drive_link" TargetMode="External"/><Relationship Id="rId45" Type="http://schemas.openxmlformats.org/officeDocument/2006/relationships/hyperlink" Target="https://drive.google.com/file/d/1ldTzZR3_QDI-16wdAs5VS40wXMF1ACLg/view?usp=drive_link" TargetMode="External"/><Relationship Id="rId53" Type="http://schemas.openxmlformats.org/officeDocument/2006/relationships/hyperlink" Target="https://www.gcccd.edu/governing-board/" TargetMode="External"/><Relationship Id="rId58" Type="http://schemas.openxmlformats.org/officeDocument/2006/relationships/hyperlink" Target="https://www.gcccd.edu/_resources/docs/governing-board/procedures/ch2/ap-2410.pdf" TargetMode="External"/><Relationship Id="rId66" Type="http://schemas.openxmlformats.org/officeDocument/2006/relationships/hyperlink" Target="https://www.gcccd.edu/_resources/docs/governing-board/policies/ch2/BP%202430.pdf" TargetMode="External"/><Relationship Id="rId74" Type="http://schemas.openxmlformats.org/officeDocument/2006/relationships/hyperlink" Target="https://www.gcccd.edu/_resources/docs/governing-board/policies/ch2/BP%202430.pdf" TargetMode="External"/><Relationship Id="rId5" Type="http://schemas.openxmlformats.org/officeDocument/2006/relationships/webSettings" Target="webSettings.xml"/><Relationship Id="rId61" Type="http://schemas.openxmlformats.org/officeDocument/2006/relationships/hyperlink" Target="https://www.gcccd.edu/_resources/docs/governing-board/procedures/ch2/AP%202435.pdf" TargetMode="External"/><Relationship Id="rId19" Type="http://schemas.openxmlformats.org/officeDocument/2006/relationships/hyperlink" Target="https://drive.google.com/file/d/1BLvxqpRY9DUUq0Imw6gzfcGjLWiELTUQ/view?usp=drive_link" TargetMode="External"/><Relationship Id="rId14" Type="http://schemas.openxmlformats.org/officeDocument/2006/relationships/hyperlink" Target="https://catalog.gcccd.edu/grossmont/academic-policies/" TargetMode="External"/><Relationship Id="rId22" Type="http://schemas.openxmlformats.org/officeDocument/2006/relationships/hyperlink" Target="https://www.gcccd.edu/_resources/docs/governing-board/policies/ch5/bp-5500.pdf" TargetMode="External"/><Relationship Id="rId30" Type="http://schemas.openxmlformats.org/officeDocument/2006/relationships/hyperlink" Target="https://www.grossmont.edu/faculty-staff/participatory-governance/budget/meetings.php" TargetMode="External"/><Relationship Id="rId35" Type="http://schemas.openxmlformats.org/officeDocument/2006/relationships/hyperlink" Target="https://www.grossmont.edu/faculty-staff/participatory-governance/student-success-and-equity/meetings.php" TargetMode="External"/><Relationship Id="rId43" Type="http://schemas.openxmlformats.org/officeDocument/2006/relationships/hyperlink" Target="https://drive.google.com/file/d/1dnZjTZQ9ZTKK2yYtYLA0FEVJgy7OJIEa/view?usp=drive_link" TargetMode="External"/><Relationship Id="rId48" Type="http://schemas.openxmlformats.org/officeDocument/2006/relationships/hyperlink" Target="https://www.gcccd.edu/_resources/docs/governing-board/policies/ch2/BP%202200.pdf" TargetMode="External"/><Relationship Id="rId56" Type="http://schemas.openxmlformats.org/officeDocument/2006/relationships/hyperlink" Target="https://www.gcccd.edu/governing-board/agenda-minutes.php" TargetMode="External"/><Relationship Id="rId64" Type="http://schemas.openxmlformats.org/officeDocument/2006/relationships/hyperlink" Target="https://www.gcccd.edu/_resources/docs/governing-board/procedures/ch6/AP%206100.pdf" TargetMode="External"/><Relationship Id="rId69" Type="http://schemas.openxmlformats.org/officeDocument/2006/relationships/hyperlink" Target="https://www.gcccd.edu/_resources/docs/governing-board/policies/ch2/BP%202200.pdf" TargetMode="External"/><Relationship Id="rId77" Type="http://schemas.openxmlformats.org/officeDocument/2006/relationships/fontTable" Target="fontTable.xml"/><Relationship Id="rId8" Type="http://schemas.openxmlformats.org/officeDocument/2006/relationships/hyperlink" Target="https://www.gcccd.edu/_resources/docs/governing-board/policies/ch4/bp-4030.pdf" TargetMode="External"/><Relationship Id="rId51" Type="http://schemas.openxmlformats.org/officeDocument/2006/relationships/hyperlink" Target="https://www.gcccd.edu/_resources/docs/governing-board/governance-handbook/gov-hdbk-08-25-23.pdf" TargetMode="External"/><Relationship Id="rId72" Type="http://schemas.openxmlformats.org/officeDocument/2006/relationships/hyperlink" Target="https://www.gcccd.edu/_resources/docs/governing-board/policies/ch2/BP%202740.pdf" TargetMode="External"/><Relationship Id="rId3" Type="http://schemas.openxmlformats.org/officeDocument/2006/relationships/styles" Target="styles.xml"/><Relationship Id="rId12" Type="http://schemas.openxmlformats.org/officeDocument/2006/relationships/hyperlink" Target="https://www.gcccd.edu/_resources/docs/human-resources/hr-misc/2019-2021-gcccd-aft-cba.pdf" TargetMode="External"/><Relationship Id="rId17" Type="http://schemas.openxmlformats.org/officeDocument/2006/relationships/hyperlink" Target="https://www.grossmont.edu/academics/schedule/_resources/assets/pdf/2024/spring/part4-2024-spring-schedule.pdf" TargetMode="External"/><Relationship Id="rId25" Type="http://schemas.openxmlformats.org/officeDocument/2006/relationships/hyperlink" Target="https://www.gcccd.edu/_resources/docs/governing-board/procedures/ch2/AP%202510.pdf" TargetMode="External"/><Relationship Id="rId33" Type="http://schemas.openxmlformats.org/officeDocument/2006/relationships/hyperlink" Target="https://www.grossmont.edu/faculty-staff/participatory-governance/planning-and-institutional-effectiveness/meetings.php" TargetMode="External"/><Relationship Id="rId38" Type="http://schemas.openxmlformats.org/officeDocument/2006/relationships/hyperlink" Target="https://www.grossmont.edu/faculty-staff/participatory-governance/college-council/meetings.php" TargetMode="External"/><Relationship Id="rId46" Type="http://schemas.openxmlformats.org/officeDocument/2006/relationships/hyperlink" Target="https://drive.google.com/file/d/1bm1K48lHQSts8nqAzsc_8qIIz_tPIlWH/view?usp=drive_link" TargetMode="External"/><Relationship Id="rId59" Type="http://schemas.openxmlformats.org/officeDocument/2006/relationships/hyperlink" Target="https://www.gcccd.edu/_resources/docs/governing-board/policies/ch2/BP%202431.pdf" TargetMode="External"/><Relationship Id="rId67" Type="http://schemas.openxmlformats.org/officeDocument/2006/relationships/hyperlink" Target="https://www.gcccd.edu/_resources/docs/governing-board/policies/ch2/BP%202510.pdf" TargetMode="External"/><Relationship Id="rId20" Type="http://schemas.openxmlformats.org/officeDocument/2006/relationships/hyperlink" Target="https://drive.google.com/file/d/1xxKpxUD6Umxr2Y1QOk4Cj5yRuI2oh431/view?usp=drive_link" TargetMode="External"/><Relationship Id="rId41" Type="http://schemas.openxmlformats.org/officeDocument/2006/relationships/hyperlink" Target="https://drive.google.com/file/d/1lahGRNqvgsgnQQhkPfbMtQHz1_--NaIt/view?usp=drive_link" TargetMode="External"/><Relationship Id="rId54" Type="http://schemas.openxmlformats.org/officeDocument/2006/relationships/hyperlink" Target="https://www.gcccd.edu/_resources/docs/governing-board/governance-handbook/gov-hdbk-08-25-23.pdf" TargetMode="External"/><Relationship Id="rId62" Type="http://schemas.openxmlformats.org/officeDocument/2006/relationships/hyperlink" Target="https://www.gcccd.edu/_resources/docs/governing-board/policies/ch2/BP%202430.pdf" TargetMode="External"/><Relationship Id="rId70" Type="http://schemas.openxmlformats.org/officeDocument/2006/relationships/hyperlink" Target="https://www.gcccd.edu/_resources/docs/governing-board/policies/ch2/BP%202745.pdf" TargetMode="External"/><Relationship Id="rId75" Type="http://schemas.openxmlformats.org/officeDocument/2006/relationships/hyperlink" Target="https://www.gcccd.edu/_resources/docs/governing-board/governance-handbook/gov-hdbk-08-25-23.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_beeIB8cbgvi0wYX9-ViaChyQQzhiVo26EGhNlOefUo/edit?usp=sharing" TargetMode="External"/><Relationship Id="rId23" Type="http://schemas.openxmlformats.org/officeDocument/2006/relationships/hyperlink" Target="https://www.gcccd.edu/_resources/docs/governing-board/procedures/ch5/AP%205500.pdf" TargetMode="External"/><Relationship Id="rId28" Type="http://schemas.openxmlformats.org/officeDocument/2006/relationships/image" Target="media/image2.png"/><Relationship Id="rId36" Type="http://schemas.openxmlformats.org/officeDocument/2006/relationships/hyperlink" Target="https://www.grossmont.edu/faculty-staff/participatory-governance/technology/meetings.php" TargetMode="External"/><Relationship Id="rId49" Type="http://schemas.openxmlformats.org/officeDocument/2006/relationships/hyperlink" Target="https://www.gcccd.edu/_resources/docs/governing-board/policies/ch2/BP%202510.pdf" TargetMode="External"/><Relationship Id="rId57" Type="http://schemas.openxmlformats.org/officeDocument/2006/relationships/hyperlink" Target="https://www.gcccd.edu/_resources/docs/governing-board/policies/ch2/bp-2410.pdf" TargetMode="External"/><Relationship Id="rId10" Type="http://schemas.openxmlformats.org/officeDocument/2006/relationships/hyperlink" Target="https://www.gcccd.edu/_resources/docs/governing-board/procedures/ch3/AP%203905.pdf" TargetMode="External"/><Relationship Id="rId31" Type="http://schemas.openxmlformats.org/officeDocument/2006/relationships/hyperlink" Target="https://www.grossmont.edu/faculty-staff/participatory-governance/facilities/meetings.php" TargetMode="External"/><Relationship Id="rId44" Type="http://schemas.openxmlformats.org/officeDocument/2006/relationships/hyperlink" Target="https://docs.google.com/document/d/16ZVeLwagxqp7Y8j8f9El0EoRd774ykVl/edit?usp=drive_link&amp;ouid=118422798655432615703&amp;rtpof=true&amp;sd=true" TargetMode="External"/><Relationship Id="rId52" Type="http://schemas.openxmlformats.org/officeDocument/2006/relationships/image" Target="media/image1.png"/><Relationship Id="rId60" Type="http://schemas.openxmlformats.org/officeDocument/2006/relationships/hyperlink" Target="https://www.gcccd.edu/_resources/docs/governing-board/policies/ch2/BP%202435.pdf" TargetMode="External"/><Relationship Id="rId65" Type="http://schemas.openxmlformats.org/officeDocument/2006/relationships/hyperlink" Target="https://www.gcccd.edu/_resources/docs/governing-board/policies/ch6/BP%206150.pdf" TargetMode="External"/><Relationship Id="rId73" Type="http://schemas.openxmlformats.org/officeDocument/2006/relationships/hyperlink" Target="https://www.gcccd.edu/_resources/docs/governing-board/procedures/ch2/AP%202740.pdf"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cccd.edu/_resources/docs/governing-board/policies/ch3/BP%203905.pdf" TargetMode="External"/><Relationship Id="rId13" Type="http://schemas.openxmlformats.org/officeDocument/2006/relationships/hyperlink" Target="https://drive.google.com/file/d/1nJEcH0USLhfKdsfuIPGEdEP4XKAhxjx2/view?usp=drive_link" TargetMode="External"/><Relationship Id="rId18" Type="http://schemas.openxmlformats.org/officeDocument/2006/relationships/hyperlink" Target="https://drive.google.com/file/d/1yL4kPpEYxGvb4R3UdriAjlfTmh-8ZQT1/view?usp=drive_link" TargetMode="External"/><Relationship Id="rId39" Type="http://schemas.openxmlformats.org/officeDocument/2006/relationships/hyperlink" Target="https://www.grossmont.edu/faculty-staff/participatory-governance/student-success-and-equity/index.php" TargetMode="External"/><Relationship Id="rId34" Type="http://schemas.openxmlformats.org/officeDocument/2006/relationships/hyperlink" Target="https://www.grossmont.edu/faculty-staff/participatory-governance/staffing/staffing-committee-meetings.php" TargetMode="External"/><Relationship Id="rId50" Type="http://schemas.openxmlformats.org/officeDocument/2006/relationships/hyperlink" Target="https://www.gcccd.edu/_resources/docs/governing-board/procedures/ch2/AP%202510.pdf" TargetMode="External"/><Relationship Id="rId55" Type="http://schemas.openxmlformats.org/officeDocument/2006/relationships/hyperlink" Target="https://www.gcccd.edu/governing-board/agenda-minutes.php"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gcccd.edu/_resources/docs/governing-board/procedures/ch2/AP%202745.pdf" TargetMode="External"/><Relationship Id="rId2" Type="http://schemas.openxmlformats.org/officeDocument/2006/relationships/numbering" Target="numbering.xml"/><Relationship Id="rId29" Type="http://schemas.openxmlformats.org/officeDocument/2006/relationships/hyperlink" Target="https://www.grossmont.edu/faculty-staff/participatory-governance/college-council/meetings.ph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g2LIT1miH90mKTwu1PBS0OnS5A==">CgMxLjAaJwoBMBIiCiAIBCocCgtBQUFCTk11TVdXNBAIGgtBQUFCTk11TVdXNBonCgExEiIKIAgEKhwKC0FBQUJOR0gwa3k0EAgaC0FBQUJOR0gwa3k0GicKATISIgogCAQqHAoLQUFBQk5NdU1XWEEQCBoLQUFBQk5NdU1XWEEaJwoBMxIiCiAIBCocCgtBQUFCTk11TVdYQRAIGgtBQUFCTkdIMGt5ZxonCgE0EiIKIAgEKhwKC0FBQUJOTXVNV1c4EAgaC0FBQUJOTXVNV1c4GicKATUSIgogCAQqHAoLQUFBQk5NdU1XVzgQCBoLQUFBQk5HSDBreWsiiwgKC0FBQUJOTXVNV1c4EuEHCgtBQUFCTk11TVdXOBILQUFBQk5NdU1XVzgahwEKCXRleHQvaHRtbBJ6TWludXRlcyByZWdhcmRpbmcgdGhpcyBjaGFuZ2Ugb24g4oCcY2xvc2luZyB0aGUgbG9vcOKAnSB0byBiZSBsb2NhdGVkIGFzIGV2aWRlbmNlIGJ5IEJlcm5hZGV0dGUgdmlhIHJlcXVlc3QgZnJvbSBEZW5pc2UgVy4iiAEKCnRleHQvcGxhaW4Sek1pbnV0ZXMgcmVnYXJkaW5nIHRoaXMgY2hhbmdlIG9uIOKAnGNsb3NpbmcgdGhlIGxvb3DigJ0gdG8gYmUgbG9jYXRlZCBhcyBldmlkZW5jZSBieSBCZXJuYWRldHRlIHZpYSByZXF1ZXN0IGZyb20gRGVuaXNlIFcuKkYKDU1pa2UgUm9iaW5zb24aNS8vc3NsLmdzdGF0aWMuY29tL2RvY3MvY29tbW9uL2JsdWVfc2lsaG91ZXR0ZTk2LTAucG5nMMC3+rP3MTj2zZn09zFC/AIKC0FBQUJOR0gwa3lrEgtBQUFCTk11TVdXOBpdCgl0ZXh0L2h0bWwSUERlbmlzZSBjYW4gb2J0YWluIGRvY3VtZW50YXRpb24uwqAgV2lsbCBzZW5kIHRvIE1pa2UgYW5kIGNvcHkgUGVhcmwgYW5kIE1pY2hlbGUuIl4KCnRleHQvcGxhaW4SUERlbmlzZSBjYW4gb2J0YWluIGRvY3VtZW50YXRpb24uwqAgV2lsbCBzZW5kIHRvIE1pa2UgYW5kIGNvcHkgUGVhcmwgYW5kIE1pY2hlbGUuKhsiFTExNjUzNjQxNTU3NTY0MzgzNDQ4NigAOAAw9s2Z9PcxOPbNmfT3MVoMcDdpYXo3ZTEwMW9wcgIgAHgAmgEGCAAQABgAqgFSElBEZW5pc2UgY2FuIG9idGFpbiBkb2N1bWVudGF0aW9uLsKgIFdpbGwgc2VuZCB0byBNaWtlIGFuZCBjb3B5IFBlYXJsIGFuZCBNaWNoZWxlLrABALgBAHJICg1NaWtlIFJvYmluc29uGjcKNS8vc3NsLmdzdGF0aWMuY29tL2RvY3MvY29tbW9uL2JsdWVfc2lsaG91ZXR0ZTk2LTAucG5neACIAQGaAQYIABAAGACqAXwSek1pbnV0ZXMgcmVnYXJkaW5nIHRoaXMgY2hhbmdlIG9uIOKAnGNsb3NpbmcgdGhlIGxvb3DigJ0gdG8gYmUgbG9jYXRlZCBhcyBldmlkZW5jZSBieSBCZXJuYWRldHRlIHZpYSByZXF1ZXN0IGZyb20gRGVuaXNlIFcusAEAuAEBGMC3+rP3MSD2zZn09zEwAEIIa2l4LmNtdDIizAQKC0FBQUJOR0gwa3k0EpoECgtBQUFCTkdIMGt5NBILQUFBQk5HSDBreTQaiAEKCXRleHQvaHRtbBJ7RGlkIHRoaXMgc3VydmV5IGluZm9ybSB0aGUgMjAyMyByZXRyZWF0P8KgIEdvb2QgdG8gbWVudGlvbiBob3cgdGhlIG91dGNvbWVzwqAgb2YgdGhlIHN1cnZleSB3ZXJlIHVzZWQuwqAgUHJvdmlkZSBzcGVjaWZpY3MuIokBCgp0ZXh0L3BsYWluEntEaWQgdGhpcyBzdXJ2ZXkgaW5mb3JtIHRoZSAyMDIzIHJldHJlYXQ/wqAgR29vZCB0byBtZW50aW9uIGhvdyB0aGUgb3V0Y29tZXPCoCBvZiB0aGUgc3VydmV5IHdlcmUgdXNlZC7CoCBQcm92aWRlIHNwZWNpZmljcy4qGyIVMTE2NTM2NDE1NTc1NjQzODM0NDg2KAA4ADDzofL09zE4w6rz9PcxShkKCnRleHQvcGxhaW4SC2ltcHJvdmVtZW50Wgxzbzdxc2RkbG15a3NyAiAAeACaAQYIABAAGACqAX0Se0RpZCB0aGlzIHN1cnZleSBpbmZvcm0gdGhlIDIwMjMgcmV0cmVhdD/CoCBHb29kIHRvIG1lbnRpb24gaG93IHRoZSBvdXRjb21lc8KgIG9mIHRoZSBzdXJ2ZXkgd2VyZSB1c2VkLsKgIFByb3ZpZGUgc3BlY2lmaWNzLrABALgBABjzofL09zEgw6rz9PcxMABCEGtpeC5zd2FtbXg2dXJ0cnUijgMKC0FBQUJOTXVNV1c0EuQCCgtBQUFCTk11TVdXNBILQUFBQk5NdU1XVzQaMwoJdGV4dC9odG1sEiZQbGFjZWhvbGRlciBmb3IgbGluayB0byBmdXR1cmUgbWFudWFsLiI0Cgp0ZXh0L3BsYWluEiZQbGFjZWhvbGRlciBmb3IgbGluayB0byBmdXR1cmUgbWFudWFsLipGCg1NaWtlIFJvYmluc29uGjUvL3NzbC5nc3RhdGljLmNvbS9kb2NzL2NvbW1vbi9ibHVlX3NpbGhvdWV0dGU5Ni0wLnBuZzDAh+qU9zE4wIfqlPcxckgKDU1pa2UgUm9iaW5zb24aNwo1Ly9zc2wuZ3N0YXRpYy5jb20vZG9jcy9jb21tb24vYmx1ZV9zaWxob3VldHRlOTYtMC5wbmd4AIgBAZoBBggAEAAYAKoBKBImUGxhY2Vob2xkZXIgZm9yIGxpbmsgdG8gZnV0dXJlIG1hbnVhbC6wAQC4AQEYwIfqlPcxIMCH6pT3MTAAQghraXguY210MCL8BgoLQUFBQk5NdU1XWEES0gYKC0FBQUJOTXVNV1hBEgtBQUFCTk11TVdYQRpVCgl0ZXh0L2h0bWwSSFRoZXNlIGl0ZW1zIGFyZSBwZW5kaW5nIHVwbG9hZHMgb3IgbGlua3MgZnJvbSBNaWNoZWxlLCBwZXIgbm90ZXMgaW4gNC4zLiJWCgp0ZXh0L3BsYWluEkhUaGVzZSBpdGVtcyBhcmUgcGVuZGluZyB1cGxvYWRzIG9yIGxpbmtzIGZyb20gTWljaGVsZSwgcGVyIG5vdGVzIGluIDQuMy4qRgoNTWlrZSBSb2JpbnNvbho1Ly9zc2wuZ3N0YXRpYy5jb20vZG9jcy9jb21tb24vYmx1ZV9zaWxob3VldHRlOTYtMC5wbmcwoKDymfcxOJuYkfT3MUKFAwoLQUFBQk5HSDBreWcSC0FBQUJOTXVNV1hBGmAKCXRleHQvaHRtbBJTTWljaGVsZSBhZGRlZCBmYWN1bHR5IHN0YWZmaW5nIGxpc3QgYW5kIGNvbGxlZ2UgY291bmNpbCBtaW51dGVzIGludG8gZ29vZ2xlIGZvbGRlci4iYQoKdGV4dC9wbGFpbhJTTWljaGVsZSBhZGRlZCBmYWN1bHR5IHN0YWZmaW5nIGxpc3QgYW5kIGNvbGxlZ2UgY291bmNpbCBtaW51dGVzIGludG8gZ29vZ2xlIGZvbGRlci4qGyIVMTE2NTM2NDE1NTc1NjQzODM0NDg2KAA4ADCbmJH09zE4m5iR9PcxWgxxMmVpcDZ3MnhkM2lyAiAAeACaAQYIABAAGACqAVUSU01pY2hlbGUgYWRkZWQgZmFjdWx0eSBzdGFmZmluZyBsaXN0IGFuZCBjb2xsZWdlIGNvdW5jaWwgbWludXRlcyBpbnRvIGdvb2dsZSBmb2xkZXIusAEAuAEAckgKDU1pa2UgUm9iaW5zb24aNwo1Ly9zc2wuZ3N0YXRpYy5jb20vZG9jcy9jb21tb24vYmx1ZV9zaWxob3VldHRlOTYtMC5wbmd4AIgBAZoBBggAEAAYAKoBShJIVGhlc2UgaXRlbXMgYXJlIHBlbmRpbmcgdXBsb2FkcyBvciBsaW5rcyBmcm9tIE1pY2hlbGUsIHBlciBub3RlcyBpbiA0LjMusAEAuAEBGKCg8pn3MSCbmJH09zEwAEIIa2l4LmNtdDE4AGojChRzdWdnZXN0LnB5M2dra2k4azVlZBILcGVhcmwgbG9wZXpqIwoUc3VnZ2VzdC43eWxpZXdsdHN1dzESC3BlYXJsIGxvcGV6aiMKFHN1Z2dlc3QuOWR5Z3Jtd3NpZ3ZnEgtwZWFybCBsb3BlenIhMVE0T0l3WGxTTmlYTDVxbWF1Z2M4YjBHTmxjd09aTE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4258</Words>
  <Characters>24277</Characters>
  <Application>Microsoft Office Word</Application>
  <DocSecurity>0</DocSecurity>
  <Lines>202</Lines>
  <Paragraphs>56</Paragraphs>
  <ScaleCrop>false</ScaleCrop>
  <Company/>
  <LinksUpToDate>false</LinksUpToDate>
  <CharactersWithSpaces>28479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Robinson</dc:creator>
  <cp:lastModifiedBy>Denise S</cp:lastModifiedBy>
  <cp:revision>3</cp:revision>
  <dcterms:created xsi:type="dcterms:W3CDTF">2025-02-04T04:17:00Z</dcterms:created>
  <dcterms:modified xsi:type="dcterms:W3CDTF">2025-02-04T04:18:00Z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7dcc3746-ca70-4442-9010-f83b5a2ce83f</vt:lpwstr>
  </property>
</Properties>
</file>