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F0B7B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I want to center this communication document on the district’s readiness to move forward with two major safety initiatives: </w:t>
      </w:r>
    </w:p>
    <w:p w14:paraId="00000002" w14:textId="77777777" w:rsidR="00DF0B7B" w:rsidRDefault="00000000">
      <w:pPr>
        <w:numPr>
          <w:ilvl w:val="0"/>
          <w:numId w:val="1"/>
        </w:numPr>
        <w:spacing w:before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establishing a district police department, and </w:t>
      </w:r>
    </w:p>
    <w:p w14:paraId="00000003" w14:textId="77777777" w:rsidR="00DF0B7B" w:rsidRDefault="00000000">
      <w:pPr>
        <w:numPr>
          <w:ilvl w:val="0"/>
          <w:numId w:val="1"/>
        </w:numPr>
        <w:spacing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installing high-tech cameras with potential AI-driven surveillance features</w:t>
      </w:r>
    </w:p>
    <w:p w14:paraId="00000004" w14:textId="28C772B8" w:rsidR="00DF0B7B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These decisions carry significant long-term implications for student safety, equity, and climate, particularly for Black and Brown male students, whom the district has repeatedly stated are a priority for retention and success. It is essential that we examine whether the district’s processes reflect the stated commitments to anti-racism, equity, and participatory governance. Ultimately, our responsibility is to ensure that any safety initiative protects students without inadvertently harming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the very communities the district claims to support. The </w:t>
      </w:r>
      <w:r w:rsidR="00CB5BC5">
        <w:rPr>
          <w:sz w:val="24"/>
          <w:szCs w:val="24"/>
        </w:rPr>
        <w:t>district</w:t>
      </w:r>
      <w:r>
        <w:rPr>
          <w:sz w:val="24"/>
          <w:szCs w:val="24"/>
        </w:rPr>
        <w:t xml:space="preserve"> must approach these decisions intentionally, transparently, and through an equity-centered lens. As such, it is critical to ask the following: </w:t>
      </w:r>
    </w:p>
    <w:p w14:paraId="00000005" w14:textId="77777777" w:rsidR="00DF0B7B" w:rsidRDefault="00000000">
      <w:pPr>
        <w:pStyle w:val="Heading2"/>
        <w:keepNext w:val="0"/>
        <w:keepLines w:val="0"/>
        <w:spacing w:after="80"/>
        <w:rPr>
          <w:b/>
          <w:bCs/>
          <w:sz w:val="24"/>
          <w:szCs w:val="24"/>
        </w:rPr>
      </w:pPr>
      <w:bookmarkStart w:id="0" w:name="_u54mrlklm3o9" w:colFirst="0" w:colLast="0"/>
      <w:bookmarkEnd w:id="0"/>
      <w:r>
        <w:rPr>
          <w:b/>
          <w:bCs/>
          <w:sz w:val="24"/>
          <w:szCs w:val="24"/>
        </w:rPr>
        <w:t>District Readiness &amp; Preparedness</w:t>
      </w:r>
    </w:p>
    <w:p w14:paraId="00000006" w14:textId="77777777" w:rsidR="00DF0B7B" w:rsidRDefault="00000000">
      <w:pPr>
        <w:numPr>
          <w:ilvl w:val="0"/>
          <w:numId w:val="5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What evidence demonstrates that the district is prepared organizationally, financially, and operationally to establish its own police department? {</w:t>
      </w:r>
      <w:r>
        <w:rPr>
          <w:sz w:val="24"/>
          <w:szCs w:val="24"/>
          <w:highlight w:val="yellow"/>
        </w:rPr>
        <w:t>we were merely shown a preliminary budget of 2 million annually.}</w:t>
      </w:r>
    </w:p>
    <w:p w14:paraId="00000007" w14:textId="77777777" w:rsidR="00DF0B7B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Has a thorough cost analysis been conducted, including long-term budget, training requirements, compliance, staffing, liability, and sustainability?</w:t>
      </w:r>
    </w:p>
    <w:p w14:paraId="00000008" w14:textId="77777777" w:rsidR="00DF0B7B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research, models, or best practices guided the district’s decision to pursue these initiatives? {</w:t>
      </w:r>
      <w:r>
        <w:rPr>
          <w:sz w:val="24"/>
          <w:szCs w:val="24"/>
          <w:highlight w:val="yellow"/>
        </w:rPr>
        <w:t>Clandestine style independent research}</w:t>
      </w:r>
    </w:p>
    <w:p w14:paraId="00000009" w14:textId="77777777" w:rsidR="00DF0B7B" w:rsidRDefault="00000000">
      <w:pPr>
        <w:numPr>
          <w:ilvl w:val="0"/>
          <w:numId w:val="5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How and when have faculty, classified professionals, students, and community partners been engaged in the decision-making process? [</w:t>
      </w:r>
      <w:r>
        <w:rPr>
          <w:sz w:val="24"/>
          <w:szCs w:val="24"/>
          <w:highlight w:val="yellow"/>
        </w:rPr>
        <w:t>The public safety task force was not involved in the discourse.</w:t>
      </w:r>
      <w:r>
        <w:rPr>
          <w:sz w:val="24"/>
          <w:szCs w:val="24"/>
        </w:rPr>
        <w:t>}</w:t>
      </w:r>
    </w:p>
    <w:p w14:paraId="0000000A" w14:textId="77777777" w:rsidR="00DF0B7B" w:rsidRDefault="00000000">
      <w:pPr>
        <w:pStyle w:val="Heading2"/>
        <w:keepNext w:val="0"/>
        <w:keepLines w:val="0"/>
        <w:spacing w:after="80"/>
        <w:rPr>
          <w:b/>
          <w:bCs/>
          <w:sz w:val="24"/>
          <w:szCs w:val="24"/>
        </w:rPr>
      </w:pPr>
      <w:bookmarkStart w:id="1" w:name="_ujf0l226m1hx" w:colFirst="0" w:colLast="0"/>
      <w:bookmarkEnd w:id="1"/>
      <w:r>
        <w:rPr>
          <w:b/>
          <w:bCs/>
          <w:sz w:val="24"/>
          <w:szCs w:val="24"/>
        </w:rPr>
        <w:t>Equity Impact &amp; Anti-Racist Lens</w:t>
      </w:r>
    </w:p>
    <w:p w14:paraId="0000000B" w14:textId="77777777" w:rsidR="00DF0B7B" w:rsidRDefault="00000000">
      <w:pPr>
        <w:spacing w:before="240" w:after="24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There is a high probability that these measures will disproportionately impact Black and Brown male students the very population the district says it aims to support. </w:t>
      </w:r>
      <w:r>
        <w:rPr>
          <w:sz w:val="24"/>
          <w:szCs w:val="24"/>
        </w:rPr>
        <w:t xml:space="preserve">As such, it is critical to ask the following: </w:t>
      </w:r>
    </w:p>
    <w:p w14:paraId="0000000C" w14:textId="77777777" w:rsidR="00DF0B7B" w:rsidRDefault="00000000">
      <w:pPr>
        <w:numPr>
          <w:ilvl w:val="0"/>
          <w:numId w:val="6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Has the district conducted an equity impact assessment of how policing and potential AI surveillance may affect marginalized student groups?</w:t>
      </w:r>
    </w:p>
    <w:p w14:paraId="0000000D" w14:textId="77777777" w:rsidR="00DF0B7B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How is the district ensuring that its decisions align with its commitments to anti-racist practices, restorative approaches, and trauma-informed responses?</w:t>
      </w:r>
    </w:p>
    <w:p w14:paraId="0000000E" w14:textId="77777777" w:rsidR="00DF0B7B" w:rsidRDefault="00000000">
      <w:pPr>
        <w:numPr>
          <w:ilvl w:val="0"/>
          <w:numId w:val="6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What steps will be taken to prevent increased profiling, negative contact with law enforcement, or a chilling effect on students’ sense of belonging?</w:t>
      </w:r>
    </w:p>
    <w:p w14:paraId="0000000F" w14:textId="77777777" w:rsidR="00DF0B7B" w:rsidRDefault="00000000">
      <w:pPr>
        <w:pStyle w:val="Heading2"/>
        <w:keepNext w:val="0"/>
        <w:keepLines w:val="0"/>
        <w:spacing w:after="80"/>
        <w:rPr>
          <w:b/>
          <w:bCs/>
          <w:sz w:val="24"/>
          <w:szCs w:val="24"/>
        </w:rPr>
      </w:pPr>
      <w:bookmarkStart w:id="2" w:name="_phm6qbqq985q" w:colFirst="0" w:colLast="0"/>
      <w:bookmarkEnd w:id="2"/>
      <w:r>
        <w:rPr>
          <w:b/>
          <w:bCs/>
          <w:sz w:val="24"/>
          <w:szCs w:val="24"/>
        </w:rPr>
        <w:lastRenderedPageBreak/>
        <w:t xml:space="preserve"> Professional Development &amp; Institutional Capacity</w:t>
      </w:r>
    </w:p>
    <w:p w14:paraId="00000010" w14:textId="77777777" w:rsidR="00DF0B7B" w:rsidRDefault="00000000">
      <w:pPr>
        <w:numPr>
          <w:ilvl w:val="0"/>
          <w:numId w:val="4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Before moving forward, has the district engaged in sustained, in-depth professional development on anti-racism, implicit bias, culturally responsive safety models, and DEIAA?</w:t>
      </w:r>
    </w:p>
    <w:p w14:paraId="00000011" w14:textId="77777777" w:rsidR="00DF0B7B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percentage of district leadership, Campus Safety staff, and decision-makers have completed comprehensive training?</w:t>
      </w:r>
    </w:p>
    <w:p w14:paraId="00000012" w14:textId="77777777" w:rsidR="00DF0B7B" w:rsidRDefault="00000000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How is this verified?</w:t>
      </w:r>
    </w:p>
    <w:p w14:paraId="00000013" w14:textId="77777777" w:rsidR="00DF0B7B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Has the district sought consultation from experts in equitable public safety design?</w:t>
      </w:r>
    </w:p>
    <w:p w14:paraId="00000014" w14:textId="77777777" w:rsidR="00DF0B7B" w:rsidRDefault="00000000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What training requirements will be mandated for any newly formed police department, especially on bias-interruption and equitable enforcement?</w:t>
      </w:r>
    </w:p>
    <w:p w14:paraId="00000015" w14:textId="77777777" w:rsidR="00DF0B7B" w:rsidRDefault="00000000">
      <w:pPr>
        <w:pStyle w:val="Heading2"/>
        <w:keepNext w:val="0"/>
        <w:keepLines w:val="0"/>
        <w:spacing w:after="80"/>
        <w:rPr>
          <w:b/>
          <w:bCs/>
          <w:color w:val="38761D"/>
          <w:sz w:val="24"/>
          <w:szCs w:val="24"/>
        </w:rPr>
      </w:pPr>
      <w:bookmarkStart w:id="3" w:name="_amk2cnar1aq7" w:colFirst="0" w:colLast="0"/>
      <w:bookmarkEnd w:id="3"/>
      <w:r>
        <w:rPr>
          <w:b/>
          <w:bCs/>
          <w:color w:val="38761D"/>
          <w:sz w:val="24"/>
          <w:szCs w:val="24"/>
        </w:rPr>
        <w:t>Governance, Transparency, and Accountability</w:t>
      </w:r>
    </w:p>
    <w:p w14:paraId="00000016" w14:textId="77777777" w:rsidR="00DF0B7B" w:rsidRDefault="00000000">
      <w:pPr>
        <w:numPr>
          <w:ilvl w:val="0"/>
          <w:numId w:val="3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These decisions must undergo full participatory governance review according to </w:t>
      </w:r>
      <w:r>
        <w:rPr>
          <w:b/>
          <w:bCs/>
          <w:sz w:val="24"/>
          <w:szCs w:val="24"/>
        </w:rPr>
        <w:t>Title 5</w:t>
      </w:r>
      <w:r>
        <w:rPr>
          <w:sz w:val="24"/>
          <w:szCs w:val="24"/>
        </w:rPr>
        <w:t xml:space="preserve"> and </w:t>
      </w:r>
      <w:r>
        <w:rPr>
          <w:b/>
          <w:bCs/>
          <w:sz w:val="24"/>
          <w:szCs w:val="24"/>
        </w:rPr>
        <w:t>AP/BP 2510</w:t>
      </w:r>
      <w:r>
        <w:rPr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{</w:t>
      </w:r>
      <w:r>
        <w:rPr>
          <w:i/>
          <w:iCs/>
          <w:sz w:val="24"/>
          <w:szCs w:val="24"/>
          <w:highlight w:val="yellow"/>
        </w:rPr>
        <w:t xml:space="preserve">The Grossmont-Cuyamaca Community College District governance structure provides each constituency group with the opportunity to participate in planning </w:t>
      </w:r>
      <w:proofErr w:type="spellStart"/>
      <w:proofErr w:type="gramStart"/>
      <w:r>
        <w:rPr>
          <w:i/>
          <w:iCs/>
          <w:sz w:val="24"/>
          <w:szCs w:val="24"/>
          <w:highlight w:val="yellow"/>
        </w:rPr>
        <w:t>processes,initiatives</w:t>
      </w:r>
      <w:proofErr w:type="spellEnd"/>
      <w:proofErr w:type="gramEnd"/>
      <w:r>
        <w:rPr>
          <w:i/>
          <w:iCs/>
          <w:sz w:val="24"/>
          <w:szCs w:val="24"/>
          <w:highlight w:val="yellow"/>
        </w:rPr>
        <w:t xml:space="preserve">, and the development of District and college policies and procedures through their representatives. The </w:t>
      </w:r>
      <w:proofErr w:type="gramStart"/>
      <w:r>
        <w:rPr>
          <w:i/>
          <w:iCs/>
          <w:sz w:val="24"/>
          <w:szCs w:val="24"/>
          <w:highlight w:val="yellow"/>
        </w:rPr>
        <w:t>District</w:t>
      </w:r>
      <w:proofErr w:type="gramEnd"/>
      <w:r>
        <w:rPr>
          <w:i/>
          <w:iCs/>
          <w:sz w:val="24"/>
          <w:szCs w:val="24"/>
          <w:highlight w:val="yellow"/>
        </w:rPr>
        <w:t xml:space="preserve"> is committed to effective participatory governance as a foundation for all </w:t>
      </w:r>
      <w:proofErr w:type="gramStart"/>
      <w:r>
        <w:rPr>
          <w:i/>
          <w:iCs/>
          <w:sz w:val="24"/>
          <w:szCs w:val="24"/>
          <w:highlight w:val="yellow"/>
        </w:rPr>
        <w:t>policy-making</w:t>
      </w:r>
      <w:proofErr w:type="gramEnd"/>
      <w:r>
        <w:rPr>
          <w:i/>
          <w:iCs/>
          <w:sz w:val="24"/>
          <w:szCs w:val="24"/>
          <w:highlight w:val="yellow"/>
        </w:rPr>
        <w:t xml:space="preserve"> within the </w:t>
      </w:r>
      <w:proofErr w:type="gramStart"/>
      <w:r>
        <w:rPr>
          <w:i/>
          <w:iCs/>
          <w:sz w:val="24"/>
          <w:szCs w:val="24"/>
          <w:highlight w:val="yellow"/>
        </w:rPr>
        <w:t>District</w:t>
      </w:r>
      <w:proofErr w:type="gramEnd"/>
      <w:r>
        <w:rPr>
          <w:i/>
          <w:iCs/>
          <w:sz w:val="24"/>
          <w:szCs w:val="24"/>
          <w:highlight w:val="yellow"/>
        </w:rPr>
        <w:t>.</w:t>
      </w:r>
      <w:r>
        <w:rPr>
          <w:sz w:val="24"/>
          <w:szCs w:val="24"/>
        </w:rPr>
        <w:t>}</w:t>
      </w:r>
    </w:p>
    <w:p w14:paraId="00000017" w14:textId="77777777" w:rsidR="00DF0B7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How is the district ensuring transparency and broad campus involvement before implementation occurs?</w:t>
      </w:r>
    </w:p>
    <w:p w14:paraId="00000018" w14:textId="77777777" w:rsidR="00DF0B7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What ongoing public reporting will track demographic impacts of policing and AI surveillance, including disciplinary patterns, misidentifications, or student-police contact rates?</w:t>
      </w:r>
    </w:p>
    <w:p w14:paraId="00000019" w14:textId="77777777" w:rsidR="00DF0B7B" w:rsidRDefault="00000000">
      <w:pPr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How will the district be held accountable if the data show disproportionate impacts on marginalized groups?</w:t>
      </w:r>
    </w:p>
    <w:p w14:paraId="0000001A" w14:textId="77777777" w:rsidR="00DF0B7B" w:rsidRDefault="00000000">
      <w:pPr>
        <w:pStyle w:val="Heading2"/>
        <w:spacing w:before="240" w:after="240"/>
        <w:rPr>
          <w:b/>
          <w:bCs/>
          <w:color w:val="38761D"/>
          <w:sz w:val="24"/>
          <w:szCs w:val="24"/>
        </w:rPr>
      </w:pPr>
      <w:bookmarkStart w:id="4" w:name="_qswao5hus5hq" w:colFirst="0" w:colLast="0"/>
      <w:bookmarkEnd w:id="4"/>
      <w:r>
        <w:rPr>
          <w:b/>
          <w:bCs/>
          <w:color w:val="38761D"/>
          <w:sz w:val="24"/>
          <w:szCs w:val="24"/>
        </w:rPr>
        <w:t>Before proceeding, the district should demonstrate:</w:t>
      </w:r>
    </w:p>
    <w:p w14:paraId="0000001B" w14:textId="77777777" w:rsidR="00DF0B7B" w:rsidRDefault="00000000">
      <w:pPr>
        <w:numPr>
          <w:ilvl w:val="0"/>
          <w:numId w:val="2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Clear readiness</w:t>
      </w:r>
    </w:p>
    <w:p w14:paraId="0000001C" w14:textId="77777777" w:rsidR="00DF0B7B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Robust equity analysis</w:t>
      </w:r>
    </w:p>
    <w:p w14:paraId="0000001D" w14:textId="77777777" w:rsidR="00DF0B7B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Meaningful shared governance</w:t>
      </w:r>
    </w:p>
    <w:p w14:paraId="0000001E" w14:textId="77777777" w:rsidR="00DF0B7B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Transparent data policies</w:t>
      </w:r>
    </w:p>
    <w:p w14:paraId="0000001F" w14:textId="77777777" w:rsidR="00DF0B7B" w:rsidRDefault="00000000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Commitment to anti-racist practice and training</w:t>
      </w:r>
    </w:p>
    <w:p w14:paraId="00000020" w14:textId="77777777" w:rsidR="00DF0B7B" w:rsidRDefault="00DF0B7B">
      <w:pPr>
        <w:spacing w:before="240" w:after="240"/>
        <w:rPr>
          <w:sz w:val="24"/>
          <w:szCs w:val="24"/>
        </w:rPr>
      </w:pPr>
    </w:p>
    <w:p w14:paraId="00000021" w14:textId="77777777" w:rsidR="00DF0B7B" w:rsidRDefault="00DF0B7B">
      <w:pPr>
        <w:spacing w:before="240" w:after="240"/>
        <w:rPr>
          <w:sz w:val="24"/>
          <w:szCs w:val="24"/>
        </w:rPr>
      </w:pPr>
    </w:p>
    <w:p w14:paraId="00000022" w14:textId="77777777" w:rsidR="00DF0B7B" w:rsidRDefault="00DF0B7B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DF0B7B" w:rsidRDefault="00DF0B7B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DF0B7B" w:rsidRDefault="00DF0B7B"/>
    <w:sectPr w:rsidR="00DF0B7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14C8C1-CCD2-B14A-9AED-D7C98A7620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4A8D2C9-EF73-1B48-8CE2-BCA7C30C42F7}"/>
    <w:embedBold r:id="rId3" w:fontKey="{EFA48A9F-B0F3-2B4E-AF24-28AE4A9CD05E}"/>
    <w:embedItalic r:id="rId4" w:fontKey="{1C522F23-FB5D-D747-8257-1AC3EB77C6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8C20C2F-1A67-0244-A8B3-042BC3CDF0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C96853F-9E28-524D-B922-BB7039ED1C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844CF"/>
    <w:multiLevelType w:val="multilevel"/>
    <w:tmpl w:val="D1E61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1822C6"/>
    <w:multiLevelType w:val="multilevel"/>
    <w:tmpl w:val="A2BA4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227F60"/>
    <w:multiLevelType w:val="multilevel"/>
    <w:tmpl w:val="D4766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830212"/>
    <w:multiLevelType w:val="multilevel"/>
    <w:tmpl w:val="4C640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C142D9"/>
    <w:multiLevelType w:val="multilevel"/>
    <w:tmpl w:val="9D72C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03550F"/>
    <w:multiLevelType w:val="multilevel"/>
    <w:tmpl w:val="B3DA5C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7196572">
    <w:abstractNumId w:val="3"/>
  </w:num>
  <w:num w:numId="2" w16cid:durableId="1877617266">
    <w:abstractNumId w:val="1"/>
  </w:num>
  <w:num w:numId="3" w16cid:durableId="1397169865">
    <w:abstractNumId w:val="2"/>
  </w:num>
  <w:num w:numId="4" w16cid:durableId="1983537944">
    <w:abstractNumId w:val="5"/>
  </w:num>
  <w:num w:numId="5" w16cid:durableId="1668284912">
    <w:abstractNumId w:val="4"/>
  </w:num>
  <w:num w:numId="6" w16cid:durableId="1502817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B7B"/>
    <w:rsid w:val="00046573"/>
    <w:rsid w:val="007F2ADB"/>
    <w:rsid w:val="00CB5BC5"/>
    <w:rsid w:val="00CE07D3"/>
    <w:rsid w:val="00DF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7F27276-84C8-874A-B65B-3B463AC9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Sharon Sampson</cp:lastModifiedBy>
  <cp:revision>2</cp:revision>
  <dcterms:created xsi:type="dcterms:W3CDTF">2025-11-18T20:28:00Z</dcterms:created>
  <dcterms:modified xsi:type="dcterms:W3CDTF">2025-11-18T21:19:00Z</dcterms:modified>
</cp:coreProperties>
</file>