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98974609375" w:line="240" w:lineRule="auto"/>
        <w:ind w:left="0" w:right="734.737548828125" w:firstLine="0"/>
        <w:jc w:val="right"/>
        <w:rPr>
          <w:rFonts w:ascii="Arial" w:cs="Arial" w:eastAsia="Arial" w:hAnsi="Arial"/>
          <w:b w:val="1"/>
          <w:bCs w:val="1"/>
          <w:i w:val="0"/>
          <w:iCs w:val="0"/>
          <w:smallCaps w:val="0"/>
          <w:strike w:val="0"/>
          <w:color w:val="002f6d"/>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22.079999923706055"/>
          <w:szCs w:val="22.079999923706055"/>
          <w:u w:val="none"/>
          <w:shd w:fill="auto" w:val="clear"/>
          <w:vertAlign w:val="baseline"/>
          <w:rtl w:val="0"/>
        </w:rPr>
        <w:t xml:space="preserve">MEMORANDUM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-28700</wp:posOffset>
            </wp:positionV>
            <wp:extent cx="2130216" cy="80454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30216" cy="80454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0" w:right="726.817626953125" w:firstLine="0"/>
        <w:jc w:val="right"/>
        <w:rPr>
          <w:rFonts w:ascii="Arial" w:cs="Arial" w:eastAsia="Arial" w:hAnsi="Arial"/>
          <w:b w:val="0"/>
          <w:bCs w:val="0"/>
          <w:i w:val="0"/>
          <w:iCs w:val="0"/>
          <w:smallCaps w:val="0"/>
          <w:strike w:val="0"/>
          <w:color w:val="555759"/>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19.920000076293945"/>
          <w:szCs w:val="19.920000076293945"/>
          <w:u w:val="none"/>
          <w:shd w:fill="auto" w:val="clear"/>
          <w:vertAlign w:val="baseline"/>
          <w:rtl w:val="0"/>
        </w:rPr>
        <w:t xml:space="preserve">September 30,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0009765625" w:line="240" w:lineRule="auto"/>
        <w:ind w:left="0" w:right="722.77099609375" w:firstLine="0"/>
        <w:jc w:val="right"/>
        <w:rPr>
          <w:rFonts w:ascii="Arial" w:cs="Arial" w:eastAsia="Arial" w:hAnsi="Arial"/>
          <w:b w:val="0"/>
          <w:bCs w:val="0"/>
          <w:i w:val="0"/>
          <w:iCs w:val="0"/>
          <w:smallCaps w:val="0"/>
          <w:strike w:val="0"/>
          <w:color w:val="555759"/>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19.920000076293945"/>
          <w:szCs w:val="19.920000076293945"/>
          <w:u w:val="none"/>
          <w:shd w:fill="auto" w:val="clear"/>
          <w:vertAlign w:val="baseline"/>
          <w:rtl w:val="0"/>
        </w:rPr>
        <w:t xml:space="preserve">ESS 25-63 | Via Email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139404296875" w:line="240" w:lineRule="auto"/>
        <w:ind w:left="6.182403564453125"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TO: Chief Executive Officers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416015625" w:line="240" w:lineRule="auto"/>
        <w:ind w:left="731.5106201171875"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Chief Instructional Officers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5615234375" w:line="240" w:lineRule="auto"/>
        <w:ind w:left="731.7312622070312"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Chief Student Services Officers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763671875" w:line="240" w:lineRule="auto"/>
        <w:ind w:left="731.7312622070312"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Chief Business Officers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416015625" w:line="240" w:lineRule="auto"/>
        <w:ind w:left="720.9120178222656"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Academic Senate Presidents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5537109375" w:line="240" w:lineRule="auto"/>
        <w:ind w:left="20.092620849609375"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FROM: James Todd, Vice Chancellor of Academic Affairs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416015625" w:line="249.90028381347656" w:lineRule="auto"/>
        <w:ind w:left="731.9514465332031" w:right="833.350830078125" w:firstLine="8.16986083984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LaTonya Parker-Parnell, President of Academic Senate for California Community Colleges Michelle Pilati, Project Director of Academic Senate for California Community Colleges  Open Educational Resources Initiative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46484375" w:line="240" w:lineRule="auto"/>
        <w:ind w:left="20.31402587890625"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RE: Empowering Day-One Access through OER (Title 5, § 54221)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5831298828125" w:line="240" w:lineRule="auto"/>
        <w:ind w:left="17.66357421875" w:right="0" w:firstLine="0"/>
        <w:jc w:val="left"/>
        <w:rPr>
          <w:rFonts w:ascii="Arial" w:cs="Arial" w:eastAsia="Arial" w:hAnsi="Arial"/>
          <w:b w:val="1"/>
          <w:bCs w:val="1"/>
          <w:i w:val="0"/>
          <w:iCs w:val="0"/>
          <w:smallCaps w:val="0"/>
          <w:strike w:val="0"/>
          <w:color w:val="002f6d"/>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22.079999923706055"/>
          <w:szCs w:val="22.079999923706055"/>
          <w:u w:val="none"/>
          <w:shd w:fill="auto" w:val="clear"/>
          <w:vertAlign w:val="baseline"/>
          <w:rtl w:val="0"/>
        </w:rPr>
        <w:t xml:space="preserve">Purpose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88.2321834564209" w:lineRule="auto"/>
        <w:ind w:left="0.662384033203125" w:right="767.017822265625" w:firstLine="19.87152099609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Every student should begin every class fully equipped to learn—no fees to clear, no codes to buy,  and no waiting for financial aid. California Code of Regulations, title 5,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 54221 Burden-Free</w:t>
      </w:r>
      <w:r w:rsidDel="00000000" w:rsidR="00000000" w:rsidRPr="00000000">
        <w:rPr>
          <w:rFonts w:ascii="Arial" w:cs="Arial" w:eastAsia="Arial" w:hAnsi="Arial"/>
          <w:b w:val="0"/>
          <w:bCs w:val="0"/>
          <w:i w:val="0"/>
          <w:iCs w:val="0"/>
          <w:smallCaps w:val="0"/>
          <w:strike w:val="0"/>
          <w:color w:val="002f6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Access to Instructional Materials</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 advances this vision by calling for district policies that ensure  first-day access to textbooks and supplemental materials, minimize financial and administrative  burdens on students, and preserve faculty responsibility and academic freedom in selecting  course materials. This memo embraces the regulation not as a checklist, but as an opportunity to  widen the path to transfer and completion by encouraging colleges to achieve its intent through the adoption of open educational resources (OER) and building sustainable Zero-Textbook-Cost  (ZTC) pathways.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095703125" w:line="288.1417465209961" w:lineRule="auto"/>
        <w:ind w:left="5.52001953125" w:right="715.838623046875" w:firstLine="0.6632995605468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This new regulation also directly advances the goals of Vision 2030: equity in access, equity in  support, and equity in success. By eliminating the cost barrier to instructional materials, students  who have historically been excluded from timely participation in their coursework can engage  from the very first day. By encouraging the use of OER and establishing Zero-Textbook-Cost (ZTC)  pathways, colleges can provide consistent, sustainable affordability across entire programs, and  not just individual courses. And by embedding burden-free access into local policy, districts help  students complete their educational journeys more efficiently and equitably, strengthening  pathways to transfer, degrees, and family-sustaining careers.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93798828125" w:line="288.05874824523926" w:lineRule="auto"/>
        <w:ind w:left="5.299224853515625" w:right="812.81494140625" w:firstLine="1.325378417968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This guidance follows the Chancellor’s Office memorandum issued July 22, 2025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ESS 25-43</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  which outlined the regulatory provisions for burden-free access, and previewed this  empowerment memo to support local policy development and day-one access across textbooks,  supplies, and supplementary materials.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4976196289062" w:line="240" w:lineRule="auto"/>
        <w:ind w:left="8.300018310546875" w:right="0" w:firstLine="0"/>
        <w:jc w:val="left"/>
        <w:rPr>
          <w:rFonts w:ascii="Arial" w:cs="Arial" w:eastAsia="Arial" w:hAnsi="Arial"/>
          <w:b w:val="1"/>
          <w:bCs w:val="1"/>
          <w:i w:val="0"/>
          <w:iCs w:val="0"/>
          <w:smallCaps w:val="0"/>
          <w:strike w:val="0"/>
          <w:color w:val="002f6d"/>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18"/>
          <w:szCs w:val="18"/>
          <w:u w:val="none"/>
          <w:shd w:fill="auto" w:val="clear"/>
          <w:vertAlign w:val="baseline"/>
          <w:rtl w:val="0"/>
        </w:rPr>
        <w:t xml:space="preserve">Chancellor’s Office, Educational Services and Support Division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832275390625" w:line="240" w:lineRule="auto"/>
        <w:ind w:left="13.481597900390625" w:right="0" w:firstLine="0"/>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1102 Q Street, Sacramento, CA 95811 | 916.445.8752 | www.cccco.edu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2e6e"/>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2e6e"/>
          <w:sz w:val="16"/>
          <w:szCs w:val="16"/>
          <w:u w:val="none"/>
          <w:shd w:fill="auto" w:val="clear"/>
          <w:vertAlign w:val="baseline"/>
          <w:rtl w:val="0"/>
        </w:rPr>
        <w:t xml:space="preserve">A11Y 9/30/25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382402420044" w:lineRule="auto"/>
        <w:ind w:left="115.1568603515625" w:right="5330.3350830078125" w:firstLine="5.963897705078125"/>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17.040000915527344"/>
          <w:szCs w:val="17.040000915527344"/>
          <w:u w:val="none"/>
          <w:shd w:fill="auto" w:val="clear"/>
          <w:vertAlign w:val="baseline"/>
          <w:rtl w:val="0"/>
        </w:rPr>
        <w:t xml:space="preserve">Empowering Day-One Access through OER (Title 5, § 54221) </w:t>
      </w: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September 30, 2025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11328125" w:line="240" w:lineRule="auto"/>
        <w:ind w:left="17.00164794921875" w:right="0" w:firstLine="0"/>
        <w:jc w:val="left"/>
        <w:rPr>
          <w:rFonts w:ascii="Arial" w:cs="Arial" w:eastAsia="Arial" w:hAnsi="Arial"/>
          <w:b w:val="1"/>
          <w:bCs w:val="1"/>
          <w:i w:val="0"/>
          <w:iCs w:val="0"/>
          <w:smallCaps w:val="0"/>
          <w:strike w:val="0"/>
          <w:color w:val="002f6d"/>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22.079999923706055"/>
          <w:szCs w:val="22.079999923706055"/>
          <w:u w:val="none"/>
          <w:shd w:fill="auto" w:val="clear"/>
          <w:vertAlign w:val="baseline"/>
          <w:rtl w:val="0"/>
        </w:rPr>
        <w:t xml:space="preserve">Background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060546875" w:line="287.9989242553711" w:lineRule="auto"/>
        <w:ind w:left="17.4432373046875" w:right="741.4501953125" w:hanging="16.780853271484375"/>
        <w:jc w:val="both"/>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As noted in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ESS 25-43</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 title 5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 54221 Burden-Free Access to Instructional Materials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was filed July  1, 2025, and became effective July 30, 2025. Districts have 180 days—until Jan. 26, 2026—to align  local policy. While policy is the start, meeting the intent of the regulation will take local focus and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384765625" w:line="287.76549339294434" w:lineRule="auto"/>
        <w:ind w:left="6.40350341796875" w:right="669.0673828125" w:firstLine="3.7524414062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collaboration. Core expectations include: ensuring first-day access to textbooks and  supplemental materials (including through adopting or adapting OER or, where needed, providing  initial textbook chapters consistent with copyright); strengthening access to all other  instructional materials before they are required; upholding faculty academic freedom; and  fostering student-centered practices such as ZTC degrees, library lending, and early financial-aid  disbursements consistent with federal regulations.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69677734375" w:line="287.76437759399414" w:lineRule="auto"/>
        <w:ind w:left="5.962066650390625" w:right="792.984619140625" w:firstLine="0.66253662109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The regulation defines “instructional materials” broadly as all required items for a course— textbooks, supplemental materials, and supplies. Textbooks are the educational resources listed  in the syllabus; supplemental materials include lab manuals, workbooks, required software or  homework systems, journal articles, interactive websites, and readers. This breadth invites  colleges to reimagine the entire learning experience—not just the book—through an affordability  lens.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737060546875" w:line="240" w:lineRule="auto"/>
        <w:ind w:left="3.975372314453125" w:right="0" w:firstLine="0"/>
        <w:jc w:val="left"/>
        <w:rPr>
          <w:rFonts w:ascii="Arial" w:cs="Arial" w:eastAsia="Arial" w:hAnsi="Arial"/>
          <w:b w:val="1"/>
          <w:bCs w:val="1"/>
          <w:i w:val="0"/>
          <w:iCs w:val="0"/>
          <w:smallCaps w:val="0"/>
          <w:strike w:val="0"/>
          <w:color w:val="002f6d"/>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22.079999923706055"/>
          <w:szCs w:val="22.079999923706055"/>
          <w:u w:val="none"/>
          <w:shd w:fill="auto" w:val="clear"/>
          <w:vertAlign w:val="baseline"/>
          <w:rtl w:val="0"/>
        </w:rPr>
        <w:t xml:space="preserve">Why This Matters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199951171875" w:line="287.7645778656006" w:lineRule="auto"/>
        <w:ind w:left="5.9625244140625" w:right="749.6435546875" w:firstLine="1.104125976562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The July memo underscored what students have told us for years: required materials can cost  hundreds of dollars annually, forcing many to avoid courses, change majors, or attend class  without required tools. When day-one access is the norm, faculty can teach to the syllabus from  the first moment; students engage immediately; and momentum toward transfer and completion  strengthens—especially for learners who have historically shouldered the greatest financial  burdens.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73095703125" w:line="240" w:lineRule="auto"/>
        <w:ind w:left="17.664947509765625" w:right="0" w:firstLine="0"/>
        <w:jc w:val="left"/>
        <w:rPr>
          <w:rFonts w:ascii="Arial" w:cs="Arial" w:eastAsia="Arial" w:hAnsi="Arial"/>
          <w:b w:val="1"/>
          <w:bCs w:val="1"/>
          <w:i w:val="0"/>
          <w:iCs w:val="0"/>
          <w:smallCaps w:val="0"/>
          <w:strike w:val="0"/>
          <w:color w:val="002f6d"/>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22.079999923706055"/>
          <w:szCs w:val="22.079999923706055"/>
          <w:u w:val="none"/>
          <w:shd w:fill="auto" w:val="clear"/>
          <w:vertAlign w:val="baseline"/>
          <w:rtl w:val="0"/>
        </w:rPr>
        <w:t xml:space="preserve">From Regulation to Reality: Colleges Can Deliver Day-One Access Through OER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199951171875" w:line="287.98484802246094" w:lineRule="auto"/>
        <w:ind w:left="7.28729248046875" w:right="679.888916015625" w:firstLine="13.24798583984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Imagine the first week of each term on your campus. A student opens Canvas on Sunday night and  finds the resources they need to start the class—ready to go, without the barrier of a required  payment. A faculty member feels free to choose the best materials for learning and to adapt them  over time to better reflect local communities and program outcomes. A library has built the  connective tissue—stable links, print-on-request at institutional cost, course reserves—to make  materials persistently available in multiple formats. This is the day-one experience the burden free regulation invites us to co-create.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3814697265625" w:line="287.3370838165283" w:lineRule="auto"/>
        <w:ind w:left="1.544952392578125" w:right="667.681884765625" w:firstLine="5.52001953125"/>
        <w:jc w:val="both"/>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To move toward this vision, consider a collaborative arc that brings together administrators, local  Academic Senates, libraries, student services, and faculty, with the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Academic Senate for California</w:t>
      </w:r>
      <w:r w:rsidDel="00000000" w:rsidR="00000000" w:rsidRPr="00000000">
        <w:rPr>
          <w:rFonts w:ascii="Arial" w:cs="Arial" w:eastAsia="Arial" w:hAnsi="Arial"/>
          <w:b w:val="0"/>
          <w:bCs w:val="0"/>
          <w:i w:val="0"/>
          <w:iCs w:val="0"/>
          <w:smallCaps w:val="0"/>
          <w:strike w:val="0"/>
          <w:color w:val="002f6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Community Colleges Open Educational Resources Initiative (OERI)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as the practical hub. The OERI,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7637939453125" w:line="286.8851566314697" w:lineRule="auto"/>
        <w:ind w:left="5.078582763671875" w:right="721.75537109375" w:firstLine="1.10382080078125"/>
        <w:jc w:val="left"/>
        <w:rPr>
          <w:rFonts w:ascii="Arial" w:cs="Arial" w:eastAsia="Arial" w:hAnsi="Arial"/>
          <w:b w:val="0"/>
          <w:bCs w:val="0"/>
          <w:i w:val="0"/>
          <w:iCs w:val="0"/>
          <w:smallCaps w:val="0"/>
          <w:strike w:val="0"/>
          <w:color w:val="002f6d"/>
          <w:sz w:val="22.079999923706055"/>
          <w:szCs w:val="22.079999923706055"/>
          <w:u w:val="singl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stewarded by the Academic Senate, has become a cornerstone for this work. It offers far more  than a collection of open resources. OERI curates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comprehensive discipline-specific collections of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6889343261719" w:line="240" w:lineRule="auto"/>
        <w:ind w:left="3706.5362548828125" w:right="0" w:firstLine="0"/>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Memorandum | Page 2 of 5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382402420044" w:lineRule="auto"/>
        <w:ind w:left="115.1568603515625" w:right="5330.3350830078125" w:firstLine="5.963897705078125"/>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17.040000915527344"/>
          <w:szCs w:val="17.040000915527344"/>
          <w:u w:val="none"/>
          <w:shd w:fill="auto" w:val="clear"/>
          <w:vertAlign w:val="baseline"/>
          <w:rtl w:val="0"/>
        </w:rPr>
        <w:t xml:space="preserve">Empowering Day-One Access through OER (Title 5, § 54221) </w:t>
      </w: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September 30, 2025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011474609375" w:line="288.09986114501953" w:lineRule="auto"/>
        <w:ind w:left="5.078582763671875" w:right="732.177734375" w:firstLine="6.4030456542968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OER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that are aligned with the California Community Colleges’ transfer infrastructure, including C ID course descriptors and Transfer Model Curricula (TMCs). This means that for many of the  courses students must take to transfer, there are already high-quality, peer-reviewed OER  textbooks, ancillaries, and even OER for complete Associate Degree for Transfer (ADT)-aligned  pathways available for adoption. OERI also supports faculty through accessibility checklists, DEIA informed style guides, and professional development webinars, while fostering a statewide  network of OER liaisons and discipline leads who share practices, troubleshoot challenges, and  participate in materials development where gaps exist. In other words, OERI offers both the  content and the community needed to make day-one access through OER not only possible, but  practical and sustainable.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1640625" w:line="240" w:lineRule="auto"/>
        <w:ind w:left="11.70166015625"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Consider the possibilities for your college: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6904296875" w:line="282.34594345092773" w:lineRule="auto"/>
        <w:ind w:left="725.2992248535156" w:right="865.439453125" w:hanging="350.6976318359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Discovery aligned to transfer.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Departments might begin with high-enrollment, transfer critical courses such as those in Cal-GETC or ADT pathways. Faculty and OER liaisons can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explore OERI’s curated collections</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—organized by discipline, aligned to C-ID, and  scaffolded to TMCs—to locate ready-to-adopt texts and ancillaries that match California  transfer patterns.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93798828125" w:line="283.6537170410156" w:lineRule="auto"/>
        <w:ind w:left="725.3001403808594" w:right="868.2177734375" w:hanging="350.6985473632812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Adopt for day one; adapt for your students.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When a strong match exists, faculty can  post OER in Canvas ahead of the term, ensuring immediate, no-cost access. When gaps  appear, OER licensing enables remix and localization. Faculty can integrate culturally  responsive examples, adjust sequencing, and align assessments without delaying access  to students. The regulation preserves academic freedom even as it encourages zero-cost  practices; OER expands the palette of choices available to instructors.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83.6537170410156" w:lineRule="auto"/>
        <w:ind w:left="729.9359130859375" w:right="873.56201171875" w:hanging="355.3343200683594"/>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Cover the whole syllabus.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Because instructional materials also include supplemental  items such as homework systems, readers, software, and manuals, faculty and librarians  could cross-walk each syllabus against open or library-licensed alternatives. Where  proprietary elements remain essential and no open alternative exists, districts can  implement policies and practices that eliminate student costs through lending, targeted  purchasing, or library acquisitions—so students still begin fully equipped.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51708984375" w:line="281.00666999816895" w:lineRule="auto"/>
        <w:ind w:left="730.3781127929688" w:right="671.11083984375" w:hanging="355.7765197753906"/>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Accessibility and DEIA by design.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Instructional designers, accessibility experts, and  librarians might use OERI’s accessibility practices and discipline-based quality approaches  during adoption cycles, so accessible formats, alt-text, captions, and inclusive examples  are standard.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154052734375" w:line="283.23680877685547" w:lineRule="auto"/>
        <w:ind w:left="725.0776672363281" w:right="709.90478515625" w:hanging="350.476074218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Make it seamless for students.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Colleges are already required to mark no-cost sections in  the schedule of classes, assisting students in finding those sections that are already  aligned to the new regulation. In addition, colleges can ensure durable library links to  resources are available and provide print options at institutional cost. When a print bridge  is helpful, providing initial chapters consistent with copyright keeps learning moving from  day one.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4300842285156" w:line="240" w:lineRule="auto"/>
        <w:ind w:left="3706.5362548828125" w:right="0" w:firstLine="0"/>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Memorandum | Page 3 of 5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382402420044" w:lineRule="auto"/>
        <w:ind w:left="115.1568603515625" w:right="5330.3350830078125" w:firstLine="5.963897705078125"/>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17.040000915527344"/>
          <w:szCs w:val="17.040000915527344"/>
          <w:u w:val="none"/>
          <w:shd w:fill="auto" w:val="clear"/>
          <w:vertAlign w:val="baseline"/>
          <w:rtl w:val="0"/>
        </w:rPr>
        <w:t xml:space="preserve">Empowering Day-One Access through OER (Title 5, § 54221) </w:t>
      </w: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September 30, 2025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811279296875" w:line="277.4509620666504" w:lineRule="auto"/>
        <w:ind w:left="730.1568603515625" w:right="781.534423828125" w:hanging="355.5552673339844"/>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Stitch courses into pathways.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Departments may convene and discuss how to connect  course adoptions into ZTC degree maps, using OERI’s C-ID and TMC scaffolds, so students  can complete certificates and degrees without materials charges.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6884765625" w:line="284.16961669921875" w:lineRule="auto"/>
        <w:ind w:left="729.9360656738281" w:right="841.658935546875" w:hanging="355.3344726562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Support the people doing the work.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Adopting and adapting OER is scholarly and  pedagogical work. Colleges might recognize this through providing faculty time, flex  credit, peer mentoring, adoption “studios” supported by instructional designers and  librarians, and by recognizing and valuing OER work in evaluation and professional  growth. The OERI liaison network and regular webinars provide community, professional  learning, shared ancillaries, and just-in-time help as faculty move away from publisher  bundles.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390625" w:line="287.98510551452637" w:lineRule="auto"/>
        <w:ind w:left="10.128021240234375" w:right="709.903564453125" w:hanging="3.974456787109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Throughout, imagine the compounding effect for students: consistent, predictable no-cost access  course after course; a schedule that clearly signals affordability; and a Canvas page that always  opens to what they need.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710693359375" w:line="240" w:lineRule="auto"/>
        <w:ind w:left="16.972808837890625" w:right="0" w:firstLine="0"/>
        <w:jc w:val="left"/>
        <w:rPr>
          <w:rFonts w:ascii="Arial" w:cs="Arial" w:eastAsia="Arial" w:hAnsi="Arial"/>
          <w:b w:val="1"/>
          <w:bCs w:val="1"/>
          <w:i w:val="0"/>
          <w:iCs w:val="0"/>
          <w:smallCaps w:val="0"/>
          <w:strike w:val="0"/>
          <w:color w:val="002f6d"/>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22.079999923706055"/>
          <w:szCs w:val="22.079999923706055"/>
          <w:u w:val="none"/>
          <w:shd w:fill="auto" w:val="clear"/>
          <w:vertAlign w:val="baseline"/>
          <w:rtl w:val="0"/>
        </w:rPr>
        <w:t xml:space="preserve">Policy To Practice This Year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199951171875" w:line="287.87378311157227" w:lineRule="auto"/>
        <w:ind w:left="0.662384033203125" w:right="683.1005859375" w:firstLine="19.180755615234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ESS 25-43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encouraged colleges to view the new regulatory provisions as a strategic opportunity to  formalize and strengthen policies that already align with equity plans and board priorities. Adopted policies are not expected to result in the immediate establishment of no-cost first-day  access, but to establish the conditions to achieve this goal over time. Local Academic Senates and  administrators together might consider: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807861328125" w:line="282.38250732421875" w:lineRule="auto"/>
        <w:ind w:left="725.2992248535156" w:right="670.8203125" w:hanging="350.6976318359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Policy as a runway.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Rather than a single compliance moment, imagine policy language  that guides long-term decisions—procurement, budgeting, library investments, and  program review—toward sustainable practices that gradually eliminate student costs for  instructional materials. OER offers the clearest pathway toward this goal, with lending and  targeted purchasing filling in when open options are not yet available.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115234375" w:line="281.006498336792" w:lineRule="auto"/>
        <w:ind w:left="726.1824035644531" w:right="983.187255859375" w:hanging="351.5808105468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Collaborative pathway build-outs.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Colleges may convene cross-functional design  sprints—faculty leads, OER liaisons, librarians, instructional designers, financial aid—to  map the next wave of OER adoptions in large GE and transfer bottlenecks and publish a  living OER/ZTC pathway map students can plan around.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413330078125" w:line="281.00666999816895" w:lineRule="auto"/>
        <w:ind w:left="725.2992248535156" w:right="836.865234375" w:hanging="350.69763183593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2f6d"/>
          <w:sz w:val="28.079999923706055"/>
          <w:szCs w:val="28.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555759"/>
          <w:sz w:val="22.079999923706055"/>
          <w:szCs w:val="22.079999923706055"/>
          <w:u w:val="none"/>
          <w:shd w:fill="auto" w:val="clear"/>
          <w:vertAlign w:val="baseline"/>
          <w:rtl w:val="0"/>
        </w:rPr>
        <w:t xml:space="preserve">Student-centered operations.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Imagine materials that are available before they are  required for a grade, with multiple formats supported, schedule notes that help students  choose no-cost sections, and (where appropriate) earlier aid timing to reduce frictions  that remain.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00927734375" w:line="289.0842819213867" w:lineRule="auto"/>
        <w:ind w:left="5.2703857421875" w:right="801.072998046875" w:firstLine="14.5727539062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In reflecting on these directions, colleges may also weigh which solutions align most closely with  the intent of title 5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 54221 Burden-Free Access to Instructional Materials</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9776916503906" w:line="240" w:lineRule="auto"/>
        <w:ind w:left="3706.5362548828125" w:right="0" w:firstLine="0"/>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Memorandum | Page 4 of 5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382402420044" w:lineRule="auto"/>
        <w:ind w:left="115.1568603515625" w:right="5330.3350830078125" w:firstLine="5.963897705078125"/>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17.040000915527344"/>
          <w:szCs w:val="17.040000915527344"/>
          <w:u w:val="none"/>
          <w:shd w:fill="auto" w:val="clear"/>
          <w:vertAlign w:val="baseline"/>
          <w:rtl w:val="0"/>
        </w:rPr>
        <w:t xml:space="preserve">Empowering Day-One Access through OER (Title 5, § 54221) </w:t>
      </w: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September 30, 2025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011474609375" w:line="288.1424331665039" w:lineRule="auto"/>
        <w:ind w:left="6.623992919921875" w:right="762.3876953125" w:hanging="5.9616088867187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Automatic-billing approaches—sometimes called “inclusive” or “equitable” access programs—do  place materials in students’ hands on day one, but they do not eliminate instructional materials  costs. These models address only one dimension of the regulation: timing. By contrast, OER and  ZTC pathways embody both the letter and the spirit of the regulation by ensuring access on the  first day and by eliminating costs for students over the long term. Colleges and senates might  imagine policies that set this more ambitious outcome as the north star, with each new OER  adoption and each new ZTC pathway a step toward a future where instructional materials no  longer represent a financial barrier.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97216796875" w:line="240" w:lineRule="auto"/>
        <w:ind w:left="10.1568603515625" w:right="0" w:firstLine="0"/>
        <w:jc w:val="left"/>
        <w:rPr>
          <w:rFonts w:ascii="Arial" w:cs="Arial" w:eastAsia="Arial" w:hAnsi="Arial"/>
          <w:b w:val="1"/>
          <w:bCs w:val="1"/>
          <w:i w:val="0"/>
          <w:iCs w:val="0"/>
          <w:smallCaps w:val="0"/>
          <w:strike w:val="0"/>
          <w:color w:val="002f6d"/>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2f6d"/>
          <w:sz w:val="22.079999923706055"/>
          <w:szCs w:val="22.079999923706055"/>
          <w:u w:val="none"/>
          <w:shd w:fill="auto" w:val="clear"/>
          <w:vertAlign w:val="baseline"/>
          <w:rtl w:val="0"/>
        </w:rPr>
        <w:t xml:space="preserve">Conclusion: A Systemwide OER Platform and Burden-Free Recommendations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621826171875" w:line="288.13530921936035" w:lineRule="auto"/>
        <w:ind w:left="5.299224853515625" w:right="692.76123046875" w:hanging="4.636840820312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As previewed in the July memo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ESS 25-43</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 the Chancellor’s Office is completing an RFP process  to identify a systemwide OER platform to simplify searching, adoption, adaptation, attribution,  and accessibility support. Additionally, the Burden-Free Instructional Materials Implementation  Taskforce, charged with translating recommendations into actionable, sustainable strategies, will  culminate its work into an action-oriented report with best practices, systemwide opportunities, and technical assistance.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992919921875" w:line="287.92654037475586" w:lineRule="auto"/>
        <w:ind w:left="5.299224853515625" w:right="832.79296875" w:firstLine="0.66238403320312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The new title 5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 54221 Burden-Free Access to Instructional Materials </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invites us to do together  what none of us can do alone: </w:t>
      </w:r>
      <w:r w:rsidDel="00000000" w:rsidR="00000000" w:rsidRPr="00000000">
        <w:rPr>
          <w:rFonts w:ascii="Oi" w:cs="Oi" w:eastAsia="Oi" w:hAnsi="Oi"/>
          <w:b w:val="0"/>
          <w:bCs w:val="0"/>
          <w:i w:val="1"/>
          <w:iCs w:val="1"/>
          <w:smallCaps w:val="0"/>
          <w:strike w:val="0"/>
          <w:color w:val="555759"/>
          <w:sz w:val="22.079999923706055"/>
          <w:szCs w:val="22.079999923706055"/>
          <w:u w:val="none"/>
          <w:shd w:fill="auto" w:val="clear"/>
          <w:vertAlign w:val="baseline"/>
          <w:rtl w:val="0"/>
        </w:rPr>
        <w:t xml:space="preserve">make day-one, burden-free access the California Community  Colleges standard</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 When administrators and local Academic Senates collaborate to align policy  and practice, when faculty are supported to choose and shape OER, when libraries and student  services smooth the path, and when procurement aligns with our values, every student begins  every class ready to learn. That is the spirit of Vision 2030—and the promise this regulation helps  us realize.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86.88512802124023" w:lineRule="auto"/>
        <w:ind w:left="9.052734375" w:right="849.686279296875" w:firstLine="10.59844970703125"/>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For questions regarding this memorandum, please contact Chad Funk, Educational Services and  Support Division at </w:t>
      </w:r>
      <w:r w:rsidDel="00000000" w:rsidR="00000000" w:rsidRPr="00000000">
        <w:rPr>
          <w:rFonts w:ascii="Arial" w:cs="Arial" w:eastAsia="Arial" w:hAnsi="Arial"/>
          <w:b w:val="0"/>
          <w:bCs w:val="0"/>
          <w:i w:val="0"/>
          <w:iCs w:val="0"/>
          <w:smallCaps w:val="0"/>
          <w:strike w:val="0"/>
          <w:color w:val="002f6d"/>
          <w:sz w:val="22.079999923706055"/>
          <w:szCs w:val="22.079999923706055"/>
          <w:u w:val="single"/>
          <w:shd w:fill="auto" w:val="clear"/>
          <w:vertAlign w:val="baseline"/>
          <w:rtl w:val="0"/>
        </w:rPr>
        <w:t xml:space="preserve">CFunk@CCCCO.edu</w:t>
      </w: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77392578125" w:line="240" w:lineRule="auto"/>
        <w:ind w:left="10.1568603515625"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cc: Sonya Christian, Chancellor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021728515625" w:line="240" w:lineRule="auto"/>
        <w:ind w:left="739.9000549316406"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Rowena Tomaneng, Deputy Chancellor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741943359375" w:line="240" w:lineRule="auto"/>
        <w:ind w:left="731.5104675292969" w:right="0" w:firstLine="0"/>
        <w:jc w:val="left"/>
        <w:rPr>
          <w:rFonts w:ascii="Arial" w:cs="Arial" w:eastAsia="Arial" w:hAnsi="Arial"/>
          <w:b w:val="0"/>
          <w:bCs w:val="0"/>
          <w:i w:val="0"/>
          <w:iCs w:val="0"/>
          <w:smallCaps w:val="0"/>
          <w:strike w:val="0"/>
          <w:color w:val="555759"/>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555759"/>
          <w:sz w:val="22.079999923706055"/>
          <w:szCs w:val="22.079999923706055"/>
          <w:u w:val="none"/>
          <w:shd w:fill="auto" w:val="clear"/>
          <w:vertAlign w:val="baseline"/>
          <w:rtl w:val="0"/>
        </w:rPr>
        <w:t xml:space="preserve">Chris Ferguson, Executive Vice Chancellor of Finance and Strategic Initiatives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6986083984375" w:line="240" w:lineRule="auto"/>
        <w:ind w:left="3706.5362548828125" w:right="0" w:firstLine="0"/>
        <w:jc w:val="left"/>
        <w:rPr>
          <w:rFonts w:ascii="Arial" w:cs="Arial" w:eastAsia="Arial" w:hAnsi="Arial"/>
          <w:b w:val="0"/>
          <w:bCs w:val="0"/>
          <w:i w:val="0"/>
          <w:iCs w:val="0"/>
          <w:smallCaps w:val="0"/>
          <w:strike w:val="0"/>
          <w:color w:val="002f6d"/>
          <w:sz w:val="17.040000915527344"/>
          <w:szCs w:val="17.040000915527344"/>
          <w:u w:val="none"/>
          <w:shd w:fill="auto" w:val="clear"/>
          <w:vertAlign w:val="baseline"/>
        </w:rPr>
      </w:pPr>
      <w:r w:rsidDel="00000000" w:rsidR="00000000" w:rsidRPr="00000000">
        <w:rPr>
          <w:rFonts w:ascii="Arial" w:cs="Arial" w:eastAsia="Arial" w:hAnsi="Arial"/>
          <w:b w:val="0"/>
          <w:bCs w:val="0"/>
          <w:i w:val="0"/>
          <w:iCs w:val="0"/>
          <w:smallCaps w:val="0"/>
          <w:strike w:val="0"/>
          <w:color w:val="002f6d"/>
          <w:sz w:val="17.040000915527344"/>
          <w:szCs w:val="17.040000915527344"/>
          <w:u w:val="none"/>
          <w:shd w:fill="auto" w:val="clear"/>
          <w:vertAlign w:val="baseline"/>
          <w:rtl w:val="0"/>
        </w:rPr>
        <w:t xml:space="preserve">Memorandum | Page 5 of 5  </w:t>
      </w:r>
    </w:p>
    <w:sectPr>
      <w:pgSz w:h="15840" w:w="12240" w:orient="portrait"/>
      <w:pgMar w:bottom="584.4129943847656" w:top="708.00048828125" w:left="1440" w:right="727.099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 w:name="Oi">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