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9287719726562"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AP 2710 Conflict of Interest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92919921875" w:line="229.90779876708984" w:lineRule="auto"/>
        <w:ind w:left="2104.268798828125" w:right="132.7001953125" w:hanging="1978.2398986816406"/>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Government Code Sections 87105, 87200- 87210; Title 2,  Section 18700 et seq.; 2 Federal Code Regulations Part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2090.82885742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200.318(c)(1); and as listed below.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449.2302131652832" w:lineRule="auto"/>
        <w:ind w:left="124.34890747070312" w:right="264.100341796875" w:firstLine="0"/>
        <w:jc w:val="center"/>
        <w:rPr>
          <w:rFonts w:ascii="Arial Narrow" w:cs="Arial Narrow" w:eastAsia="Arial Narrow" w:hAnsi="Arial Narrow"/>
          <w:b w:val="0"/>
          <w:i w:val="0"/>
          <w:smallCaps w:val="0"/>
          <w:strike w:val="0"/>
          <w:color w:val="000000"/>
          <w:sz w:val="300.0002746582031"/>
          <w:szCs w:val="300.000274658203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Issued: February 12, 2007 Updated: </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February 21, 2017 </w:t>
      </w: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TBD </w:t>
      </w:r>
      <w:r w:rsidDel="00000000" w:rsidR="00000000" w:rsidRPr="00000000">
        <w:rPr>
          <w:rFonts w:ascii="Arial Narrow" w:cs="Arial Narrow" w:eastAsia="Arial Narrow" w:hAnsi="Arial Narrow"/>
          <w:b w:val="0"/>
          <w:i w:val="0"/>
          <w:smallCaps w:val="0"/>
          <w:strike w:val="0"/>
          <w:color w:val="000000"/>
          <w:sz w:val="500.0004577636719"/>
          <w:szCs w:val="500.0004577636719"/>
          <w:u w:val="none"/>
          <w:shd w:fill="auto" w:val="clear"/>
          <w:vertAlign w:val="subscript"/>
          <w:rtl w:val="0"/>
        </w:rPr>
        <w:t xml:space="preserve">DRAF</w:t>
      </w:r>
      <w:r w:rsidDel="00000000" w:rsidR="00000000" w:rsidRPr="00000000">
        <w:rPr>
          <w:rFonts w:ascii="Arial Narrow" w:cs="Arial Narrow" w:eastAsia="Arial Narrow" w:hAnsi="Arial Narrow"/>
          <w:b w:val="0"/>
          <w:i w:val="0"/>
          <w:smallCaps w:val="0"/>
          <w:strike w:val="0"/>
          <w:color w:val="000000"/>
          <w:sz w:val="300.0002746582031"/>
          <w:szCs w:val="300.0002746582031"/>
          <w:u w:val="none"/>
          <w:shd w:fill="auto" w:val="clear"/>
          <w:vertAlign w:val="baseline"/>
          <w:rtl w:val="0"/>
        </w:rPr>
        <w:t xml:space="preserve">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241455078125" w:right="0" w:firstLine="0"/>
        <w:jc w:val="left"/>
        <w:rPr>
          <w:rFonts w:ascii="Arial" w:cs="Arial" w:eastAsia="Arial" w:hAnsi="Arial"/>
          <w:b w:val="1"/>
          <w:i w:val="0"/>
          <w:smallCaps w:val="0"/>
          <w:strike w:val="0"/>
          <w:color w:val="000000"/>
          <w:sz w:val="22.079999923706055"/>
          <w:szCs w:val="22.079999923706055"/>
          <w:u w:val="singl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Overview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7294921875" w:line="228.16956996917725" w:lineRule="auto"/>
        <w:ind w:left="11.702423095703125" w:right="157.208251953125" w:firstLine="1.54571533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Board members shall not be financially interested in any contract made by the Board or  in any contract they make in their capacity as Board members.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100830078125" w:line="240" w:lineRule="auto"/>
        <w:ind w:left="13.6897277832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Procedure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1962890625" w:line="240" w:lineRule="auto"/>
        <w:ind w:left="11.04003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Incompatible Activities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(Government Code Section 1126, 1099)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4.6368408203125" w:right="110.4736328125" w:firstLine="8.611297607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Board members shall not engage in any employment or activity that is inconsistent with,  incompatible with, in conflict with or inimical to the Board member’s duties as an officer  of the District. A board member shall not simultaneously hold two public offices that are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8154296875" w:line="230.3424596786499" w:lineRule="auto"/>
        <w:ind w:left="11.260833740234375" w:right="267.6104736328125" w:firstLine="0.44158935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incompatible. When two offices are incompatible, a board member shall be deemed to  have forfeited the first office upon acceding to the second.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106689453125" w:line="240" w:lineRule="auto"/>
        <w:ind w:left="13.6897277832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Financial Interest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(Government Code Section 1090 et seq.)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3697452545166" w:lineRule="auto"/>
        <w:ind w:left="0" w:right="0" w:firstLine="13.248138427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Board members and designated employees shall not be financially interested in any  contract made by the Board or in any contract they make in their capacity as members of  the Board or as designated employees.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443115234375" w:line="229.25597190856934" w:lineRule="auto"/>
        <w:ind w:left="7.728118896484375" w:right="9.27490234375" w:hanging="7.728118896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Board member shall not be considered to be financially interested in a contract if his or  her interest meets the definitions contained in an applicable law (Government Code  Section 1091.5).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102294921875" w:line="229.25612926483154" w:lineRule="auto"/>
        <w:ind w:left="3.974456787109375" w:right="55.323486328125" w:hanging="3.9744567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board member shall not be deemed to be financially interested in a contract if he or  she has only remote interest in the contract and if the remote interest is disclosed during  a board meeting and noted in the official board minutes. The affected board member  shall not vote or debate on the matter or attempt to influence any other member of the  Board to enter into the contract. Remote interests are specified in Government Code  Sections 1091 (b); they include, but are not limited to, the interest of a parent in the  earnings of his or her minor child.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10107421875" w:line="240" w:lineRule="auto"/>
        <w:ind w:left="12.144012451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 Employment Allowed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(Education Code Section 72103(b))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8189315795898" w:lineRule="auto"/>
        <w:ind w:left="0" w:right="99.140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of the District may not be sworn in as an elected or appointed member of  the governing board unless and until he or she resigns as an employee. If the employee  does not resign, the employment will automatically terminate upon being sworn into  office. This provision does not apply to an individual who is usually employed in an  occupation other than teaching and who also is, at the time of election to the board,  employed part time by the District to teach no more than one course per semester or  quarter in the subject matter of that individual’s occupation.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1551818847656" w:line="240" w:lineRule="auto"/>
        <w:ind w:left="0" w:right="0" w:firstLine="0"/>
        <w:jc w:val="center"/>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Grossmont-Cuyamaca Community College District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AP 2710 Conflict of Interest (Page 2 of 3)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3330078125" w:line="240" w:lineRule="auto"/>
        <w:ind w:left="6.6241455078125" w:right="0" w:firstLine="0"/>
        <w:jc w:val="left"/>
        <w:rPr>
          <w:rFonts w:ascii="Arial" w:cs="Arial" w:eastAsia="Arial" w:hAnsi="Arial"/>
          <w:b w:val="1"/>
          <w:i w:val="0"/>
          <w:smallCaps w:val="0"/>
          <w:strike w:val="0"/>
          <w:color w:val="c00000"/>
          <w:sz w:val="22.079999923706055"/>
          <w:szCs w:val="22.079999923706055"/>
          <w:u w:val="single"/>
          <w:shd w:fill="auto" w:val="clear"/>
          <w:vertAlign w:val="baseline"/>
        </w:rPr>
      </w:pPr>
      <w:r w:rsidDel="00000000" w:rsidR="00000000" w:rsidRPr="00000000">
        <w:rPr>
          <w:rFonts w:ascii="Arial" w:cs="Arial" w:eastAsia="Arial" w:hAnsi="Arial"/>
          <w:b w:val="1"/>
          <w:i w:val="0"/>
          <w:smallCaps w:val="0"/>
          <w:strike w:val="0"/>
          <w:color w:val="c00000"/>
          <w:sz w:val="22.079999923706055"/>
          <w:szCs w:val="22.079999923706055"/>
          <w:u w:val="single"/>
          <w:shd w:fill="auto" w:val="clear"/>
          <w:vertAlign w:val="baseline"/>
          <w:rtl w:val="0"/>
        </w:rPr>
        <w:t xml:space="preserve">Outside Employment: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0" w:right="147.71484375" w:firstLine="0"/>
        <w:jc w:val="left"/>
        <w:rPr>
          <w:rFonts w:ascii="Arial" w:cs="Arial" w:eastAsia="Arial" w:hAnsi="Arial"/>
          <w:b w:val="0"/>
          <w:i w:val="0"/>
          <w:smallCaps w:val="0"/>
          <w:strike w:val="0"/>
          <w:color w:val="c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c00000"/>
          <w:sz w:val="22.079999923706055"/>
          <w:szCs w:val="22.079999923706055"/>
          <w:u w:val="single"/>
          <w:shd w:fill="auto" w:val="clear"/>
          <w:vertAlign w:val="baseline"/>
          <w:rtl w:val="0"/>
        </w:rPr>
        <w:t xml:space="preserve">An employee shall not engage in any outside employment or self-employment, activity, </w:t>
      </w:r>
      <w:r w:rsidDel="00000000" w:rsidR="00000000" w:rsidRPr="00000000">
        <w:rPr>
          <w:rFonts w:ascii="Arial" w:cs="Arial" w:eastAsia="Arial" w:hAnsi="Arial"/>
          <w:b w:val="0"/>
          <w:i w:val="0"/>
          <w:smallCaps w:val="0"/>
          <w:strike w:val="0"/>
          <w:color w:val="c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c00000"/>
          <w:sz w:val="22.079999923706055"/>
          <w:szCs w:val="22.079999923706055"/>
          <w:u w:val="single"/>
          <w:shd w:fill="auto" w:val="clear"/>
          <w:vertAlign w:val="baseline"/>
          <w:rtl w:val="0"/>
        </w:rPr>
        <w:t xml:space="preserve">or enterprise which is inconsistent, incompatible, or in conflict with or inimical to </w:t>
      </w:r>
      <w:r w:rsidDel="00000000" w:rsidR="00000000" w:rsidRPr="00000000">
        <w:rPr>
          <w:rFonts w:ascii="Arial" w:cs="Arial" w:eastAsia="Arial" w:hAnsi="Arial"/>
          <w:b w:val="0"/>
          <w:i w:val="0"/>
          <w:smallCaps w:val="0"/>
          <w:strike w:val="0"/>
          <w:color w:val="c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c00000"/>
          <w:sz w:val="22.079999923706055"/>
          <w:szCs w:val="22.079999923706055"/>
          <w:u w:val="single"/>
          <w:shd w:fill="auto" w:val="clear"/>
          <w:vertAlign w:val="baseline"/>
          <w:rtl w:val="0"/>
        </w:rPr>
        <w:t xml:space="preserve">his/her/their District duties, functions, responsibilities, or that of the department in which </w:t>
      </w:r>
      <w:r w:rsidDel="00000000" w:rsidR="00000000" w:rsidRPr="00000000">
        <w:rPr>
          <w:rFonts w:ascii="Arial" w:cs="Arial" w:eastAsia="Arial" w:hAnsi="Arial"/>
          <w:b w:val="0"/>
          <w:i w:val="0"/>
          <w:smallCaps w:val="0"/>
          <w:strike w:val="0"/>
          <w:color w:val="c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c00000"/>
          <w:sz w:val="22.079999923706055"/>
          <w:szCs w:val="22.079999923706055"/>
          <w:u w:val="single"/>
          <w:shd w:fill="auto" w:val="clear"/>
          <w:vertAlign w:val="baseline"/>
          <w:rtl w:val="0"/>
        </w:rPr>
        <w:t xml:space="preserve">they are employed by the District. In order to avoid perceived or actual conflicts of </w:t>
      </w:r>
      <w:r w:rsidDel="00000000" w:rsidR="00000000" w:rsidRPr="00000000">
        <w:rPr>
          <w:rFonts w:ascii="Arial" w:cs="Arial" w:eastAsia="Arial" w:hAnsi="Arial"/>
          <w:b w:val="0"/>
          <w:i w:val="0"/>
          <w:smallCaps w:val="0"/>
          <w:strike w:val="0"/>
          <w:color w:val="c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c00000"/>
          <w:sz w:val="22.079999923706055"/>
          <w:szCs w:val="22.079999923706055"/>
          <w:u w:val="single"/>
          <w:shd w:fill="auto" w:val="clear"/>
          <w:vertAlign w:val="baseline"/>
          <w:rtl w:val="0"/>
        </w:rPr>
        <w:t xml:space="preserve">interest that may arise from outside employment, all employees must obtain written </w:t>
      </w:r>
      <w:r w:rsidDel="00000000" w:rsidR="00000000" w:rsidRPr="00000000">
        <w:rPr>
          <w:rFonts w:ascii="Arial" w:cs="Arial" w:eastAsia="Arial" w:hAnsi="Arial"/>
          <w:b w:val="0"/>
          <w:i w:val="0"/>
          <w:smallCaps w:val="0"/>
          <w:strike w:val="0"/>
          <w:color w:val="c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c00000"/>
          <w:sz w:val="22.079999923706055"/>
          <w:szCs w:val="22.079999923706055"/>
          <w:u w:val="single"/>
          <w:shd w:fill="auto" w:val="clear"/>
          <w:vertAlign w:val="baseline"/>
          <w:rtl w:val="0"/>
        </w:rPr>
        <w:t xml:space="preserve">approval from the Vice Chancellor, Human Resources or designee prior to undertaking </w:t>
      </w:r>
      <w:r w:rsidDel="00000000" w:rsidR="00000000" w:rsidRPr="00000000">
        <w:rPr>
          <w:rFonts w:ascii="Arial" w:cs="Arial" w:eastAsia="Arial" w:hAnsi="Arial"/>
          <w:b w:val="0"/>
          <w:i w:val="0"/>
          <w:smallCaps w:val="0"/>
          <w:strike w:val="0"/>
          <w:color w:val="c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c00000"/>
          <w:sz w:val="22.079999923706055"/>
          <w:szCs w:val="22.079999923706055"/>
          <w:u w:val="single"/>
          <w:shd w:fill="auto" w:val="clear"/>
          <w:vertAlign w:val="baseline"/>
          <w:rtl w:val="0"/>
        </w:rPr>
        <w:t xml:space="preserve">any outside employment as described in this procedure. </w:t>
      </w:r>
      <w:r w:rsidDel="00000000" w:rsidR="00000000" w:rsidRPr="00000000">
        <w:rPr>
          <w:rFonts w:ascii="Arial" w:cs="Arial" w:eastAsia="Arial" w:hAnsi="Arial"/>
          <w:b w:val="0"/>
          <w:i w:val="0"/>
          <w:smallCaps w:val="0"/>
          <w:strike w:val="0"/>
          <w:color w:val="c00000"/>
          <w:sz w:val="22.079999923706055"/>
          <w:szCs w:val="22.07999992370605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00.0002746582031"/>
          <w:szCs w:val="300.0002746582031"/>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500.0004577636719"/>
          <w:szCs w:val="500.0004577636719"/>
          <w:u w:val="none"/>
          <w:shd w:fill="auto" w:val="clear"/>
          <w:vertAlign w:val="subscript"/>
          <w:rtl w:val="0"/>
        </w:rPr>
        <w:t xml:space="preserve">DRAF</w:t>
      </w:r>
      <w:r w:rsidDel="00000000" w:rsidR="00000000" w:rsidRPr="00000000">
        <w:rPr>
          <w:rFonts w:ascii="Arial Narrow" w:cs="Arial Narrow" w:eastAsia="Arial Narrow" w:hAnsi="Arial Narrow"/>
          <w:b w:val="0"/>
          <w:i w:val="0"/>
          <w:smallCaps w:val="0"/>
          <w:strike w:val="0"/>
          <w:color w:val="000000"/>
          <w:sz w:val="300.0002746582031"/>
          <w:szCs w:val="300.0002746582031"/>
          <w:u w:val="none"/>
          <w:shd w:fill="auto" w:val="clear"/>
          <w:vertAlign w:val="baseline"/>
          <w:rtl w:val="0"/>
        </w:rPr>
        <w:t xml:space="preserve">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8925971984863" w:lineRule="auto"/>
        <w:ind w:left="3.974456787109375" w:right="402.080078125" w:firstLine="9.71527099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Financial Interest in a Decision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(Government Code Section 87100 et seq.) If a board member or designated employee determines that he or she has a financial  interest in a decision, as described in Government Code Section 87103, this  determination shall be disclosed and made part of the Board’s official minutes. In the  case of a designated employee, this announcement shall be made in writing and  submitted to the Board. A board member, upon identifying a conflict of interest, or a  potential conflict of interest, shall do all of the following prior to consideration of the  matter.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966064453125" w:line="228.16895484924316" w:lineRule="auto"/>
        <w:ind w:left="729.6351623535156" w:right="256.46240234375" w:hanging="356.073608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Publicly identify the financial interest in detail sufficient to be understood by the  public;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1083984375" w:line="240" w:lineRule="auto"/>
        <w:ind w:left="373.561553955078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Recuse himself or herself from discussing and voting on the matter;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6171875" w:line="229.01447296142578" w:lineRule="auto"/>
        <w:ind w:left="719.9198913574219" w:right="242.37060546875" w:hanging="346.35833740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Leave the room until after the discussion, vote, and any other disposition of the  matter is concluded unless the matter is placed on the agenda reserved for  uncontested matters. A board member may, however, discuss the issue during  the time the general public speaks on the issue.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4329833984375" w:line="240" w:lineRule="auto"/>
        <w:ind w:left="6.624145507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Gifts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(Government Code Section 89503)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0" w:right="317.4224853515625" w:firstLine="13.248138427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Board members and any employees who manage public investments shall not accept  from any single source in any calendar year any gifts in excess of the prevailing gift  limitation specified in law.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0205078125" w:line="229.61843490600586" w:lineRule="auto"/>
        <w:ind w:left="5.740814208984375" w:right="67.10205078125" w:firstLine="9.052886962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Designated employees shall not accept from any single source in any calendar year any  gifts in excess of the prevailing gift limitation specified in law if the employee would be  required to report the receipt of income or gifts from that source on his/her statement of  economic interests.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775634765625" w:line="229.52776908874512" w:lineRule="auto"/>
        <w:ind w:left="5.740814208984375" w:right="8.516845703125" w:hanging="5.74081420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above limitations on gifts do not apply to wedding gifts and gifts exchanged between  individuals on birthdays, holidays and other similar occasions, provided that the gifts  exchanged are not substantially disproportionate in value.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61181640625" w:line="230.34277439117432" w:lineRule="auto"/>
        <w:ind w:left="11.702423095703125" w:right="902.2833251953125" w:hanging="4.195098876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Gifts of travel and related lodging and subsistence shall be subject to the above  limitations except as described in Government Code Section 89506.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110595703125" w:line="228.169527053833" w:lineRule="auto"/>
        <w:ind w:left="4.6368408203125" w:right="378.231201171875" w:hanging="4.6368408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gift of travel does not include travel provided by the District for board members and  designated employees.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9305725097656" w:line="240" w:lineRule="auto"/>
        <w:ind w:left="0" w:right="0" w:firstLine="0"/>
        <w:jc w:val="center"/>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Grossmont-Cuyamaca Community C ollege District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AP 2710 Conflict of Interest (Page 3 of 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533447265625" w:line="228.894624710083" w:lineRule="auto"/>
        <w:ind w:left="4.857635498046875" w:right="83.90625" w:firstLine="8.390502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Board members and any employees who manage public investments shall not accept  any honorarium, which is defined as any payment made in consideration for any speech  given, article published, or attendance at any public or private gathering (Government  Code Sections 89501, 89502).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943359375" w:line="228.16956996917725" w:lineRule="auto"/>
        <w:ind w:left="11.260833740234375" w:right="168.916015625" w:firstLine="3.532867431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Designated employees shall not accept any honorarium that is defined as any payment  made in consideration for any speech given, article published, or attendance at any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00.0002746582031"/>
          <w:szCs w:val="300.0002746582031"/>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500.0004577636719"/>
          <w:szCs w:val="500.0004577636719"/>
          <w:u w:val="none"/>
          <w:shd w:fill="auto" w:val="clear"/>
          <w:vertAlign w:val="subscript"/>
          <w:rtl w:val="0"/>
        </w:rPr>
        <w:t xml:space="preserve">DRAF</w:t>
      </w:r>
      <w:r w:rsidDel="00000000" w:rsidR="00000000" w:rsidRPr="00000000">
        <w:rPr>
          <w:rFonts w:ascii="Arial Narrow" w:cs="Arial Narrow" w:eastAsia="Arial Narrow" w:hAnsi="Arial Narrow"/>
          <w:b w:val="0"/>
          <w:i w:val="0"/>
          <w:smallCaps w:val="0"/>
          <w:strike w:val="0"/>
          <w:color w:val="000000"/>
          <w:sz w:val="300.0002746582031"/>
          <w:szCs w:val="300.0002746582031"/>
          <w:u w:val="none"/>
          <w:shd w:fill="auto" w:val="clear"/>
          <w:vertAlign w:val="baseline"/>
          <w:rtl w:val="0"/>
        </w:rPr>
        <w:t xml:space="preserve">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5.96160888671875" w:right="100.24658203125" w:firstLine="3.753662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public or private gathering, if the employee would be required to report the receipt of  income or gifts from that source on his or her statement of economic interests. The term  “honorarium” does not include: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2099609375" w:line="229.25601482391357" w:lineRule="auto"/>
        <w:ind w:left="719.9198913574219" w:right="11.175537109375" w:hanging="346.35833740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Earned income for personal services customarily provided in connection with a  bona fide business, trade, or profession unless the sole or predominant activity of  the business, trade or profession is making speeches.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08154296875" w:line="229.25570011138916" w:lineRule="auto"/>
        <w:ind w:left="719.9198913574219" w:right="8.7109375" w:hanging="346.35833740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honorarium that is not used and, within 30 days after receipt, is either  returned to the donor or delivered to the District for donation into the general fund  without being claimed as a deduction from income tax purposes.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08154296875" w:line="240" w:lineRule="auto"/>
        <w:ind w:left="13.6897277832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Representation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(Government Code 87406.3)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4.857635498046875" w:right="230.1806640625" w:firstLine="11.040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Elected officials shall not, for a period of one-year after leaving their position, act as an  agent or attorney for, or otherwise represent for compensation, any person appearing  before that local government agency.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0693359375" w:line="232.5154209136963" w:lineRule="auto"/>
        <w:ind w:left="2.649688720703125" w:right="975.7769775390625" w:firstLine="3.9744567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Contracts Supported by Federal Funds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Code of Federal Regulations Part  200.318(c)(1))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158203125" w:line="229.13530826568604" w:lineRule="auto"/>
        <w:ind w:left="0" w:right="51.67236328125" w:firstLine="13.689727783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 employee, Board member, or agent of the District may participate in the selection,  award, or administration of a contract supported by a federal award if he/she has a real  or apparent conflict of interest. Such a conflict of interest would arise when the  employee, Board member, or agent, any member of his/her immediate family, his/her  partner, or an organization which employs or is about to employ any of the parties  indicated herein, has a financial or other interest in or a tangible personal benefit from a  firm considered for a contract. The Board members, employees, and agents of the  District may neither solicit nor accept gratuities, favors, or anything of monetary value  from contractors or parties to subcontracts. Disciplinary action will be taken for violations  of such standards by Board members, employees, or agents of the District.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8418579101562" w:line="240" w:lineRule="auto"/>
        <w:ind w:left="0" w:right="0" w:firstLine="0"/>
        <w:jc w:val="center"/>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Grossmont-Cuyamaca Community College District </w:t>
      </w:r>
    </w:p>
    <w:sectPr>
      <w:pgSz w:h="15840" w:w="12240" w:orient="portrait"/>
      <w:pgMar w:bottom="763.6799621582031" w:top="1416.400146484375" w:left="1803.5711669921875" w:right="174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