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8265743255615" w:lineRule="auto"/>
        <w:ind w:left="111.29287719726562" w:right="1654.13330078125" w:firstLine="0"/>
        <w:jc w:val="center"/>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AP 2610 Presentation of Initial Proposals for  Collective Bargaining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4169921875" w:line="240" w:lineRule="auto"/>
        <w:ind w:left="126.02890014648438"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Government Code Section 3547(b)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18701171875" w:line="229.90880012512207" w:lineRule="auto"/>
        <w:ind w:left="4966.8682861328125" w:right="980.902099609375" w:hanging="4842.5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Issued: October 14, 2008 Updated: February 11, 2013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Last Reviewed: March 20, 2018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0107421875" w:line="229.14795398712158" w:lineRule="auto"/>
        <w:ind w:left="0" w:right="0" w:firstLine="7.507324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Government Code 3547(b) states: “Meetings and negotiating shall not take place on any  proposal until a reasonable time has elapsed after the submission of the proposal to enable the  public to become informed and the public has the opportunity to express itself regarding the  proposal at a meeting of the public school employer.” The phrase “sunshine” is used to reflect  Government code 3547(b). The process to “sunshine” a proposal for collective bargaining is as  follows: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103271484375" w:line="240" w:lineRule="auto"/>
        <w:ind w:left="375.456085205078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proposal will identify the article, section, or subject to be bargained.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568359375" w:line="229.25597190856934" w:lineRule="auto"/>
        <w:ind w:left="375.4560852050781" w:right="31.46484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proposal from exclusively represented groups or from the District will be sent to the  Chancellor at least fourteen calendar days prior to the District Executive Council  meeting, in order to be placed on the next Governing Board meeting docket.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1083984375" w:line="229.25570011138916" w:lineRule="auto"/>
        <w:ind w:left="724.5567321777344" w:right="135.32470703125" w:hanging="349.10064697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Chancellor’s Office will place the proposal on the Governing Board public meeting  docket. This is to ensure notice to the public and to provide the opportunity for public  comment on the proposal.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1123046875" w:line="228.16895484924316" w:lineRule="auto"/>
        <w:ind w:left="725.8815002441406" w:right="218.9306640625" w:hanging="350.4254150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Negotiations may commence on the proposal after the date of the Board meeting that  “sunshined” the proposal.</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1.331787109375" w:line="240" w:lineRule="auto"/>
        <w:ind w:left="0" w:right="2379.227294921875" w:firstLine="0"/>
        <w:jc w:val="righ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Grossmont-Cuyamaca Community College District </w:t>
      </w:r>
    </w:p>
    <w:sectPr>
      <w:pgSz w:h="15840" w:w="12240" w:orient="portrait"/>
      <w:pgMar w:bottom="763.6799621582031" w:top="1416.400146484375" w:left="1443.5711669921875" w:right="1492.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