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4FF2A" w14:textId="324B4661" w:rsidR="005D46B3" w:rsidRDefault="009F0FFC" w:rsidP="009F0FFC">
      <w:pPr>
        <w:jc w:val="center"/>
      </w:pPr>
      <w:r>
        <w:rPr>
          <w:noProof/>
          <w:sz w:val="20"/>
        </w:rPr>
        <w:drawing>
          <wp:inline distT="0" distB="0" distL="0" distR="0" wp14:anchorId="020E95D9" wp14:editId="33B83709">
            <wp:extent cx="3603004" cy="905255"/>
            <wp:effectExtent l="0" t="0" r="0" b="9525"/>
            <wp:docPr id="1" name="image1.jpeg" descr="Academic Senate for California Colleges logo with a partially open book and multi-color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cademic Senate for California Colleges logo with a partially open book and multi-color background."/>
                    <pic:cNvPicPr/>
                  </pic:nvPicPr>
                  <pic:blipFill>
                    <a:blip r:embed="rId8">
                      <a:extLst>
                        <a:ext uri="{28A0092B-C50C-407E-A947-70E740481C1C}">
                          <a14:useLocalDpi xmlns:a14="http://schemas.microsoft.com/office/drawing/2010/main" val="0"/>
                        </a:ext>
                      </a:extLst>
                    </a:blip>
                    <a:stretch>
                      <a:fillRect/>
                    </a:stretch>
                  </pic:blipFill>
                  <pic:spPr>
                    <a:xfrm>
                      <a:off x="0" y="0"/>
                      <a:ext cx="3603004" cy="905255"/>
                    </a:xfrm>
                    <a:prstGeom prst="rect">
                      <a:avLst/>
                    </a:prstGeom>
                  </pic:spPr>
                </pic:pic>
              </a:graphicData>
            </a:graphic>
          </wp:inline>
        </w:drawing>
      </w:r>
    </w:p>
    <w:p w14:paraId="4DBF0679" w14:textId="77777777" w:rsidR="00BF1BF5" w:rsidRDefault="00BF1BF5" w:rsidP="009F0FFC">
      <w:pPr>
        <w:jc w:val="center"/>
      </w:pPr>
    </w:p>
    <w:p w14:paraId="1B8B439C" w14:textId="77777777" w:rsidR="00BF1BF5" w:rsidRDefault="00BF1BF5" w:rsidP="009F0FFC">
      <w:pPr>
        <w:jc w:val="center"/>
      </w:pPr>
    </w:p>
    <w:p w14:paraId="43EDF4B2" w14:textId="1E40FCB3" w:rsidR="00BF1BF5" w:rsidRPr="00195DC3" w:rsidRDefault="00507BD7" w:rsidP="00507BD7">
      <w:pPr>
        <w:pStyle w:val="Title"/>
        <w:jc w:val="center"/>
        <w:rPr>
          <w:b/>
          <w:bCs/>
        </w:rPr>
      </w:pPr>
      <w:r w:rsidRPr="00195DC3">
        <w:rPr>
          <w:b/>
          <w:bCs/>
        </w:rPr>
        <w:t>202</w:t>
      </w:r>
      <w:r w:rsidR="00FA2789">
        <w:rPr>
          <w:b/>
          <w:bCs/>
        </w:rPr>
        <w:t>5</w:t>
      </w:r>
      <w:r w:rsidRPr="00195DC3">
        <w:rPr>
          <w:b/>
          <w:bCs/>
        </w:rPr>
        <w:t xml:space="preserve"> </w:t>
      </w:r>
      <w:r w:rsidR="00D764FB" w:rsidRPr="00195DC3">
        <w:rPr>
          <w:b/>
          <w:bCs/>
        </w:rPr>
        <w:t>Spring</w:t>
      </w:r>
      <w:r w:rsidRPr="00195DC3">
        <w:rPr>
          <w:b/>
          <w:bCs/>
        </w:rPr>
        <w:t xml:space="preserve"> Plenary Session</w:t>
      </w:r>
    </w:p>
    <w:p w14:paraId="750839B0" w14:textId="77777777" w:rsidR="00507BD7" w:rsidRPr="00195DC3" w:rsidRDefault="00507BD7" w:rsidP="00507BD7">
      <w:pPr>
        <w:rPr>
          <w:b/>
          <w:bCs/>
        </w:rPr>
      </w:pPr>
    </w:p>
    <w:p w14:paraId="4AD112EE" w14:textId="5D8D4CC6" w:rsidR="00507BD7" w:rsidRPr="00195DC3" w:rsidRDefault="00DF69D4" w:rsidP="00507BD7">
      <w:pPr>
        <w:jc w:val="center"/>
        <w:rPr>
          <w:rFonts w:asciiTheme="majorHAnsi" w:hAnsiTheme="majorHAnsi" w:cstheme="majorHAnsi"/>
          <w:b/>
          <w:bCs/>
          <w:sz w:val="40"/>
          <w:szCs w:val="40"/>
        </w:rPr>
      </w:pPr>
      <w:r w:rsidRPr="00195DC3">
        <w:rPr>
          <w:rFonts w:asciiTheme="majorHAnsi" w:hAnsiTheme="majorHAnsi" w:cstheme="majorHAnsi"/>
          <w:b/>
          <w:bCs/>
          <w:sz w:val="40"/>
          <w:szCs w:val="40"/>
        </w:rPr>
        <w:t>Adopted Resolutions</w:t>
      </w:r>
      <w:r w:rsidR="00BF5BBB">
        <w:rPr>
          <w:rFonts w:asciiTheme="majorHAnsi" w:hAnsiTheme="majorHAnsi" w:cstheme="majorHAnsi"/>
          <w:b/>
          <w:bCs/>
          <w:sz w:val="40"/>
          <w:szCs w:val="40"/>
        </w:rPr>
        <w:t xml:space="preserve"> </w:t>
      </w:r>
      <w:r w:rsidR="009F7F67">
        <w:rPr>
          <w:rFonts w:asciiTheme="majorHAnsi" w:hAnsiTheme="majorHAnsi" w:cstheme="majorHAnsi"/>
          <w:b/>
          <w:bCs/>
          <w:sz w:val="40"/>
          <w:szCs w:val="40"/>
        </w:rPr>
        <w:t xml:space="preserve"> </w:t>
      </w:r>
    </w:p>
    <w:p w14:paraId="63F52B52" w14:textId="77777777" w:rsidR="00507BD7" w:rsidRDefault="00507BD7" w:rsidP="00507BD7">
      <w:pPr>
        <w:rPr>
          <w:rFonts w:asciiTheme="majorHAnsi" w:hAnsiTheme="majorHAnsi" w:cstheme="majorHAnsi"/>
          <w:sz w:val="40"/>
          <w:szCs w:val="40"/>
        </w:rPr>
      </w:pPr>
    </w:p>
    <w:p w14:paraId="1FD6516C" w14:textId="77777777" w:rsidR="00DF69D4" w:rsidRDefault="00DF69D4" w:rsidP="00507BD7">
      <w:pPr>
        <w:rPr>
          <w:rFonts w:asciiTheme="majorHAnsi" w:hAnsiTheme="majorHAnsi" w:cstheme="majorHAnsi"/>
          <w:sz w:val="40"/>
          <w:szCs w:val="40"/>
        </w:rPr>
      </w:pPr>
    </w:p>
    <w:p w14:paraId="685CD881" w14:textId="77777777" w:rsidR="00690BE3" w:rsidRDefault="00690BE3" w:rsidP="00507BD7">
      <w:pPr>
        <w:rPr>
          <w:rFonts w:asciiTheme="majorHAnsi" w:hAnsiTheme="majorHAnsi" w:cstheme="majorHAnsi"/>
          <w:sz w:val="40"/>
          <w:szCs w:val="40"/>
        </w:rPr>
      </w:pPr>
    </w:p>
    <w:p w14:paraId="29579281" w14:textId="77777777" w:rsidR="009D3B05" w:rsidRDefault="009D3B05" w:rsidP="00507BD7">
      <w:pPr>
        <w:rPr>
          <w:rFonts w:asciiTheme="majorHAnsi" w:hAnsiTheme="majorHAnsi" w:cstheme="majorHAnsi"/>
          <w:sz w:val="40"/>
          <w:szCs w:val="40"/>
        </w:rPr>
      </w:pPr>
    </w:p>
    <w:p w14:paraId="45861697" w14:textId="77777777" w:rsidR="009D3B05" w:rsidRDefault="009D3B05" w:rsidP="00507BD7">
      <w:pPr>
        <w:rPr>
          <w:rFonts w:asciiTheme="majorHAnsi" w:hAnsiTheme="majorHAnsi" w:cstheme="majorHAnsi"/>
          <w:sz w:val="40"/>
          <w:szCs w:val="40"/>
        </w:rPr>
      </w:pPr>
    </w:p>
    <w:p w14:paraId="3ADFA880" w14:textId="77777777" w:rsidR="009D3B05" w:rsidRDefault="009D3B05" w:rsidP="00507BD7">
      <w:pPr>
        <w:rPr>
          <w:rFonts w:asciiTheme="majorHAnsi" w:hAnsiTheme="majorHAnsi" w:cstheme="majorHAnsi"/>
          <w:sz w:val="40"/>
          <w:szCs w:val="40"/>
        </w:rPr>
      </w:pPr>
    </w:p>
    <w:p w14:paraId="0668869B" w14:textId="77777777" w:rsidR="00FA2789" w:rsidRPr="00777D8A" w:rsidRDefault="00FA2789" w:rsidP="00FA2789">
      <w:pPr>
        <w:spacing w:after="180" w:line="320" w:lineRule="exact"/>
        <w:ind w:left="1440" w:right="1440"/>
        <w:rPr>
          <w:rFonts w:ascii="Calibri Light" w:hAnsi="Calibri Light" w:cs="Calibri Light"/>
          <w:szCs w:val="21"/>
        </w:rPr>
      </w:pPr>
      <w:r w:rsidRPr="00777D8A">
        <w:rPr>
          <w:rFonts w:ascii="Calibri Light" w:hAnsi="Calibri Light" w:cs="Calibri Light"/>
          <w:szCs w:val="21"/>
        </w:rPr>
        <w:t>Resolutions Committee</w:t>
      </w:r>
    </w:p>
    <w:p w14:paraId="7300A286" w14:textId="77777777" w:rsidR="00FA2789" w:rsidRPr="00777D8A" w:rsidRDefault="00FA2789" w:rsidP="00FA2789">
      <w:pPr>
        <w:pStyle w:val="BulletedListwobullets"/>
        <w:spacing w:afterLines="180" w:after="432" w:line="320" w:lineRule="exact"/>
        <w:ind w:left="1440" w:right="1440"/>
        <w:rPr>
          <w:rFonts w:ascii="Calibri Light" w:hAnsi="Calibri Light" w:cs="Calibri Light"/>
          <w:sz w:val="24"/>
          <w:szCs w:val="21"/>
        </w:rPr>
      </w:pPr>
      <w:r w:rsidRPr="00777D8A">
        <w:rPr>
          <w:rFonts w:ascii="Calibri Light" w:hAnsi="Calibri Light" w:cs="Calibri Light"/>
          <w:sz w:val="24"/>
          <w:szCs w:val="21"/>
        </w:rPr>
        <w:t>Robert L Stewart Jr, ASCCC Resolutions Chair, Area C</w:t>
      </w:r>
    </w:p>
    <w:p w14:paraId="7A67F40C" w14:textId="77777777" w:rsidR="00FA2789" w:rsidRPr="00777D8A" w:rsidRDefault="00FA2789" w:rsidP="00FA2789">
      <w:pPr>
        <w:pStyle w:val="BulletedListwobullets"/>
        <w:spacing w:afterLines="180" w:after="432" w:line="320" w:lineRule="exact"/>
        <w:ind w:left="1440" w:right="1440"/>
        <w:rPr>
          <w:rFonts w:ascii="Calibri Light" w:hAnsi="Calibri Light" w:cs="Calibri Light"/>
          <w:sz w:val="24"/>
          <w:szCs w:val="21"/>
        </w:rPr>
      </w:pPr>
      <w:r w:rsidRPr="00777D8A">
        <w:rPr>
          <w:rFonts w:ascii="Calibri Light" w:hAnsi="Calibri Light" w:cs="Calibri Light"/>
          <w:sz w:val="24"/>
          <w:szCs w:val="21"/>
        </w:rPr>
        <w:t>Karen Chow, ASCCC Resolutions Second Chair, Area B</w:t>
      </w:r>
    </w:p>
    <w:p w14:paraId="010A7CDB" w14:textId="77777777" w:rsidR="00FA2789" w:rsidRPr="00777D8A" w:rsidRDefault="00FA2789" w:rsidP="00FA2789">
      <w:pPr>
        <w:pStyle w:val="BulletedListwobullets"/>
        <w:spacing w:afterLines="180" w:after="432" w:line="320" w:lineRule="exact"/>
        <w:ind w:left="1440" w:right="1440"/>
        <w:rPr>
          <w:rFonts w:ascii="Calibri Light" w:hAnsi="Calibri Light" w:cs="Calibri Light"/>
          <w:sz w:val="24"/>
          <w:szCs w:val="21"/>
        </w:rPr>
      </w:pPr>
      <w:r w:rsidRPr="00777D8A">
        <w:rPr>
          <w:rFonts w:ascii="Calibri Light" w:hAnsi="Calibri Light" w:cs="Calibri Light"/>
          <w:sz w:val="24"/>
          <w:szCs w:val="21"/>
        </w:rPr>
        <w:t>Nikki Grose, Feather River College, Area A</w:t>
      </w:r>
    </w:p>
    <w:p w14:paraId="0A6480DA" w14:textId="77777777" w:rsidR="00FA2789" w:rsidRPr="00777D8A" w:rsidRDefault="00FA2789" w:rsidP="00FA2789">
      <w:pPr>
        <w:pStyle w:val="BulletedListwobullets"/>
        <w:spacing w:afterLines="180" w:after="432" w:line="320" w:lineRule="exact"/>
        <w:ind w:left="1440" w:right="1440"/>
        <w:rPr>
          <w:rFonts w:ascii="Calibri Light" w:hAnsi="Calibri Light" w:cs="Calibri Light"/>
          <w:sz w:val="24"/>
          <w:szCs w:val="21"/>
        </w:rPr>
      </w:pPr>
      <w:r w:rsidRPr="00777D8A">
        <w:rPr>
          <w:rFonts w:ascii="Calibri Light" w:hAnsi="Calibri Light" w:cs="Calibri Light"/>
          <w:sz w:val="24"/>
          <w:szCs w:val="21"/>
        </w:rPr>
        <w:t>Jerome Hunt, Long Beach City College, Area D</w:t>
      </w:r>
    </w:p>
    <w:p w14:paraId="4CAFF3E0" w14:textId="77777777" w:rsidR="00FA2789" w:rsidRPr="00777D8A" w:rsidRDefault="00FA2789" w:rsidP="00FA2789">
      <w:pPr>
        <w:pStyle w:val="BulletedListwobullets"/>
        <w:spacing w:afterLines="180" w:after="432" w:line="320" w:lineRule="exact"/>
        <w:ind w:left="1440" w:right="1440"/>
        <w:rPr>
          <w:rFonts w:ascii="Calibri Light" w:hAnsi="Calibri Light" w:cs="Calibri Light"/>
          <w:sz w:val="24"/>
          <w:szCs w:val="21"/>
        </w:rPr>
      </w:pPr>
      <w:r w:rsidRPr="00777D8A">
        <w:rPr>
          <w:rFonts w:ascii="Calibri Light" w:hAnsi="Calibri Light" w:cs="Calibri Light"/>
          <w:sz w:val="24"/>
          <w:szCs w:val="21"/>
        </w:rPr>
        <w:t>Yuting Lin, Sierra College, Area A</w:t>
      </w:r>
    </w:p>
    <w:p w14:paraId="152BC510" w14:textId="77777777" w:rsidR="00FA2789" w:rsidRPr="00777D8A" w:rsidRDefault="00FA2789" w:rsidP="00FA2789">
      <w:pPr>
        <w:pStyle w:val="BulletedListwobullets"/>
        <w:spacing w:afterLines="180" w:after="432" w:line="320" w:lineRule="exact"/>
        <w:ind w:left="1440" w:right="1440"/>
        <w:rPr>
          <w:rFonts w:ascii="Calibri Light" w:hAnsi="Calibri Light" w:cs="Calibri Light"/>
          <w:sz w:val="24"/>
          <w:szCs w:val="21"/>
        </w:rPr>
      </w:pPr>
      <w:proofErr w:type="spellStart"/>
      <w:r w:rsidRPr="00777D8A">
        <w:rPr>
          <w:rFonts w:ascii="Calibri Light" w:hAnsi="Calibri Light" w:cs="Calibri Light"/>
          <w:sz w:val="24"/>
          <w:szCs w:val="21"/>
        </w:rPr>
        <w:t>Krystinne</w:t>
      </w:r>
      <w:proofErr w:type="spellEnd"/>
      <w:r w:rsidRPr="00777D8A">
        <w:rPr>
          <w:rFonts w:ascii="Calibri Light" w:hAnsi="Calibri Light" w:cs="Calibri Light"/>
          <w:sz w:val="24"/>
          <w:szCs w:val="21"/>
        </w:rPr>
        <w:t xml:space="preserve"> Mica, ASCCC Executive Director</w:t>
      </w:r>
    </w:p>
    <w:p w14:paraId="3408B15F" w14:textId="77777777" w:rsidR="00151F50" w:rsidRDefault="00151F50" w:rsidP="00507BD7">
      <w:pPr>
        <w:rPr>
          <w:rFonts w:asciiTheme="majorHAnsi" w:hAnsiTheme="majorHAnsi" w:cstheme="majorHAnsi"/>
          <w:sz w:val="40"/>
          <w:szCs w:val="40"/>
        </w:rPr>
      </w:pPr>
    </w:p>
    <w:p w14:paraId="2F3282D9" w14:textId="77777777" w:rsidR="00151F50" w:rsidRDefault="00151F50" w:rsidP="00507BD7">
      <w:pPr>
        <w:rPr>
          <w:rFonts w:asciiTheme="majorHAnsi" w:hAnsiTheme="majorHAnsi" w:cstheme="majorHAnsi"/>
          <w:sz w:val="40"/>
          <w:szCs w:val="40"/>
        </w:rPr>
      </w:pPr>
    </w:p>
    <w:bookmarkStart w:id="0" w:name="_Toc197090155" w:displacedByCustomXml="next"/>
    <w:sdt>
      <w:sdtPr>
        <w:rPr>
          <w:rFonts w:asciiTheme="majorHAnsi" w:eastAsiaTheme="minorEastAsia" w:hAnsiTheme="majorHAnsi" w:cstheme="majorHAnsi"/>
          <w:b w:val="0"/>
          <w:bCs/>
          <w:sz w:val="32"/>
          <w:szCs w:val="22"/>
        </w:rPr>
        <w:id w:val="-19400138"/>
        <w:docPartObj>
          <w:docPartGallery w:val="Table of Contents"/>
          <w:docPartUnique/>
        </w:docPartObj>
      </w:sdtPr>
      <w:sdtEndPr>
        <w:rPr>
          <w:rFonts w:asciiTheme="minorHAnsi" w:hAnsiTheme="minorHAnsi" w:cstheme="minorBidi"/>
          <w:b/>
          <w:noProof/>
          <w:sz w:val="24"/>
        </w:rPr>
      </w:sdtEndPr>
      <w:sdtContent>
        <w:p w14:paraId="70EC27C9" w14:textId="7710AF4C" w:rsidR="004C3EFC" w:rsidRPr="00B36494" w:rsidRDefault="003B678A" w:rsidP="00B36494">
          <w:pPr>
            <w:pStyle w:val="Heading1"/>
            <w:jc w:val="center"/>
            <w:rPr>
              <w:rFonts w:asciiTheme="majorHAnsi" w:hAnsiTheme="majorHAnsi" w:cstheme="majorHAnsi"/>
              <w:b w:val="0"/>
              <w:bCs/>
              <w:sz w:val="32"/>
            </w:rPr>
          </w:pPr>
          <w:r>
            <w:rPr>
              <w:rFonts w:asciiTheme="majorHAnsi" w:hAnsiTheme="majorHAnsi" w:cstheme="majorHAnsi"/>
              <w:b w:val="0"/>
              <w:bCs/>
              <w:sz w:val="32"/>
            </w:rPr>
            <w:t>TABLE OF CONTENTS</w:t>
          </w:r>
          <w:bookmarkEnd w:id="0"/>
        </w:p>
        <w:p w14:paraId="7F4F1D2A" w14:textId="29679BB8" w:rsidR="00631015" w:rsidRDefault="004C3EFC">
          <w:pPr>
            <w:pStyle w:val="TOC1"/>
            <w:tabs>
              <w:tab w:val="right" w:leader="dot" w:pos="9350"/>
            </w:tabs>
            <w:rPr>
              <w:noProof/>
              <w:szCs w:val="24"/>
              <w:lang w:eastAsia="en-US"/>
            </w:rPr>
          </w:pPr>
          <w:r>
            <w:fldChar w:fldCharType="begin"/>
          </w:r>
          <w:r>
            <w:instrText xml:space="preserve"> TOC \o "1-3" \h \z \u </w:instrText>
          </w:r>
          <w:r>
            <w:fldChar w:fldCharType="separate"/>
          </w:r>
          <w:hyperlink w:anchor="_Toc197090155" w:history="1">
            <w:r w:rsidR="00631015" w:rsidRPr="00E9390A">
              <w:rPr>
                <w:rStyle w:val="Hyperlink"/>
                <w:rFonts w:asciiTheme="majorHAnsi" w:hAnsiTheme="majorHAnsi" w:cstheme="majorHAnsi"/>
                <w:bCs/>
                <w:noProof/>
              </w:rPr>
              <w:t>TABLE OF CONTENTS</w:t>
            </w:r>
            <w:r w:rsidR="00631015">
              <w:rPr>
                <w:noProof/>
                <w:webHidden/>
              </w:rPr>
              <w:tab/>
            </w:r>
            <w:r w:rsidR="00631015">
              <w:rPr>
                <w:noProof/>
                <w:webHidden/>
              </w:rPr>
              <w:fldChar w:fldCharType="begin"/>
            </w:r>
            <w:r w:rsidR="00631015">
              <w:rPr>
                <w:noProof/>
                <w:webHidden/>
              </w:rPr>
              <w:instrText xml:space="preserve"> PAGEREF _Toc197090155 \h </w:instrText>
            </w:r>
            <w:r w:rsidR="00631015">
              <w:rPr>
                <w:noProof/>
                <w:webHidden/>
              </w:rPr>
            </w:r>
            <w:r w:rsidR="00631015">
              <w:rPr>
                <w:noProof/>
                <w:webHidden/>
              </w:rPr>
              <w:fldChar w:fldCharType="separate"/>
            </w:r>
            <w:r w:rsidR="00631015">
              <w:rPr>
                <w:noProof/>
                <w:webHidden/>
              </w:rPr>
              <w:t>2</w:t>
            </w:r>
            <w:r w:rsidR="00631015">
              <w:rPr>
                <w:noProof/>
                <w:webHidden/>
              </w:rPr>
              <w:fldChar w:fldCharType="end"/>
            </w:r>
          </w:hyperlink>
        </w:p>
        <w:p w14:paraId="191EE339" w14:textId="58312596" w:rsidR="00631015" w:rsidRDefault="00631015">
          <w:pPr>
            <w:pStyle w:val="TOC1"/>
            <w:tabs>
              <w:tab w:val="right" w:leader="dot" w:pos="9350"/>
            </w:tabs>
            <w:rPr>
              <w:noProof/>
              <w:szCs w:val="24"/>
              <w:lang w:eastAsia="en-US"/>
            </w:rPr>
          </w:pPr>
          <w:hyperlink w:anchor="_Toc197090156" w:history="1">
            <w:r w:rsidRPr="00E9390A">
              <w:rPr>
                <w:rStyle w:val="Hyperlink"/>
                <w:bCs/>
                <w:noProof/>
              </w:rPr>
              <w:t>RECORDING RESOLUTIONS VOTING</w:t>
            </w:r>
            <w:r>
              <w:rPr>
                <w:noProof/>
                <w:webHidden/>
              </w:rPr>
              <w:tab/>
            </w:r>
            <w:r>
              <w:rPr>
                <w:noProof/>
                <w:webHidden/>
              </w:rPr>
              <w:fldChar w:fldCharType="begin"/>
            </w:r>
            <w:r>
              <w:rPr>
                <w:noProof/>
                <w:webHidden/>
              </w:rPr>
              <w:instrText xml:space="preserve"> PAGEREF _Toc197090156 \h </w:instrText>
            </w:r>
            <w:r>
              <w:rPr>
                <w:noProof/>
                <w:webHidden/>
              </w:rPr>
            </w:r>
            <w:r>
              <w:rPr>
                <w:noProof/>
                <w:webHidden/>
              </w:rPr>
              <w:fldChar w:fldCharType="separate"/>
            </w:r>
            <w:r>
              <w:rPr>
                <w:noProof/>
                <w:webHidden/>
              </w:rPr>
              <w:t>4</w:t>
            </w:r>
            <w:r>
              <w:rPr>
                <w:noProof/>
                <w:webHidden/>
              </w:rPr>
              <w:fldChar w:fldCharType="end"/>
            </w:r>
          </w:hyperlink>
        </w:p>
        <w:p w14:paraId="50FFCB10" w14:textId="5ACE1736" w:rsidR="00631015" w:rsidRDefault="00631015">
          <w:pPr>
            <w:pStyle w:val="TOC1"/>
            <w:tabs>
              <w:tab w:val="right" w:leader="dot" w:pos="9350"/>
            </w:tabs>
            <w:rPr>
              <w:noProof/>
              <w:szCs w:val="24"/>
              <w:lang w:eastAsia="en-US"/>
            </w:rPr>
          </w:pPr>
          <w:hyperlink w:anchor="_Toc197090157" w:history="1">
            <w:r w:rsidRPr="00E9390A">
              <w:rPr>
                <w:rStyle w:val="Hyperlink"/>
                <w:bCs/>
                <w:noProof/>
              </w:rPr>
              <w:t>RESOLUTIONS CATEGORIES</w:t>
            </w:r>
            <w:r>
              <w:rPr>
                <w:noProof/>
                <w:webHidden/>
              </w:rPr>
              <w:tab/>
            </w:r>
            <w:r>
              <w:rPr>
                <w:noProof/>
                <w:webHidden/>
              </w:rPr>
              <w:fldChar w:fldCharType="begin"/>
            </w:r>
            <w:r>
              <w:rPr>
                <w:noProof/>
                <w:webHidden/>
              </w:rPr>
              <w:instrText xml:space="preserve"> PAGEREF _Toc197090157 \h </w:instrText>
            </w:r>
            <w:r>
              <w:rPr>
                <w:noProof/>
                <w:webHidden/>
              </w:rPr>
            </w:r>
            <w:r>
              <w:rPr>
                <w:noProof/>
                <w:webHidden/>
              </w:rPr>
              <w:fldChar w:fldCharType="separate"/>
            </w:r>
            <w:r>
              <w:rPr>
                <w:noProof/>
                <w:webHidden/>
              </w:rPr>
              <w:t>4</w:t>
            </w:r>
            <w:r>
              <w:rPr>
                <w:noProof/>
                <w:webHidden/>
              </w:rPr>
              <w:fldChar w:fldCharType="end"/>
            </w:r>
          </w:hyperlink>
        </w:p>
        <w:p w14:paraId="001DF7FD" w14:textId="1B92001D" w:rsidR="00631015" w:rsidRDefault="00631015">
          <w:pPr>
            <w:pStyle w:val="TOC1"/>
            <w:tabs>
              <w:tab w:val="right" w:leader="dot" w:pos="9350"/>
            </w:tabs>
            <w:rPr>
              <w:noProof/>
              <w:szCs w:val="24"/>
              <w:lang w:eastAsia="en-US"/>
            </w:rPr>
          </w:pPr>
          <w:hyperlink w:anchor="_Toc197090158" w:history="1">
            <w:r w:rsidRPr="00E9390A">
              <w:rPr>
                <w:rStyle w:val="Hyperlink"/>
                <w:noProof/>
              </w:rPr>
              <w:t>ADOPTED RESOLUTIONS</w:t>
            </w:r>
            <w:r>
              <w:rPr>
                <w:noProof/>
                <w:webHidden/>
              </w:rPr>
              <w:tab/>
            </w:r>
            <w:r>
              <w:rPr>
                <w:noProof/>
                <w:webHidden/>
              </w:rPr>
              <w:fldChar w:fldCharType="begin"/>
            </w:r>
            <w:r>
              <w:rPr>
                <w:noProof/>
                <w:webHidden/>
              </w:rPr>
              <w:instrText xml:space="preserve"> PAGEREF _Toc197090158 \h </w:instrText>
            </w:r>
            <w:r>
              <w:rPr>
                <w:noProof/>
                <w:webHidden/>
              </w:rPr>
            </w:r>
            <w:r>
              <w:rPr>
                <w:noProof/>
                <w:webHidden/>
              </w:rPr>
              <w:fldChar w:fldCharType="separate"/>
            </w:r>
            <w:r>
              <w:rPr>
                <w:noProof/>
                <w:webHidden/>
              </w:rPr>
              <w:t>5</w:t>
            </w:r>
            <w:r>
              <w:rPr>
                <w:noProof/>
                <w:webHidden/>
              </w:rPr>
              <w:fldChar w:fldCharType="end"/>
            </w:r>
          </w:hyperlink>
        </w:p>
        <w:p w14:paraId="18BF49DA" w14:textId="3EC9F0FE" w:rsidR="00631015" w:rsidRDefault="00631015">
          <w:pPr>
            <w:pStyle w:val="TOC1"/>
            <w:tabs>
              <w:tab w:val="right" w:leader="dot" w:pos="9350"/>
            </w:tabs>
            <w:rPr>
              <w:noProof/>
              <w:szCs w:val="24"/>
              <w:lang w:eastAsia="en-US"/>
            </w:rPr>
          </w:pPr>
          <w:hyperlink w:anchor="_Toc197090159" w:history="1">
            <w:r w:rsidRPr="00E9390A">
              <w:rPr>
                <w:rStyle w:val="Hyperlink"/>
                <w:noProof/>
              </w:rPr>
              <w:t>101 CURRICULUM</w:t>
            </w:r>
            <w:r>
              <w:rPr>
                <w:noProof/>
                <w:webHidden/>
              </w:rPr>
              <w:tab/>
            </w:r>
            <w:r>
              <w:rPr>
                <w:noProof/>
                <w:webHidden/>
              </w:rPr>
              <w:fldChar w:fldCharType="begin"/>
            </w:r>
            <w:r>
              <w:rPr>
                <w:noProof/>
                <w:webHidden/>
              </w:rPr>
              <w:instrText xml:space="preserve"> PAGEREF _Toc197090159 \h </w:instrText>
            </w:r>
            <w:r>
              <w:rPr>
                <w:noProof/>
                <w:webHidden/>
              </w:rPr>
            </w:r>
            <w:r>
              <w:rPr>
                <w:noProof/>
                <w:webHidden/>
              </w:rPr>
              <w:fldChar w:fldCharType="separate"/>
            </w:r>
            <w:r>
              <w:rPr>
                <w:noProof/>
                <w:webHidden/>
              </w:rPr>
              <w:t>5</w:t>
            </w:r>
            <w:r>
              <w:rPr>
                <w:noProof/>
                <w:webHidden/>
              </w:rPr>
              <w:fldChar w:fldCharType="end"/>
            </w:r>
          </w:hyperlink>
        </w:p>
        <w:p w14:paraId="7D80F8B9" w14:textId="16F8253C" w:rsidR="00631015" w:rsidRDefault="00631015">
          <w:pPr>
            <w:pStyle w:val="TOC2"/>
            <w:tabs>
              <w:tab w:val="right" w:leader="dot" w:pos="9350"/>
            </w:tabs>
            <w:rPr>
              <w:noProof/>
              <w:szCs w:val="24"/>
              <w:lang w:eastAsia="en-US"/>
            </w:rPr>
          </w:pPr>
          <w:hyperlink w:anchor="_Toc197090160" w:history="1">
            <w:r w:rsidRPr="00E9390A">
              <w:rPr>
                <w:rStyle w:val="Hyperlink"/>
                <w:noProof/>
              </w:rPr>
              <w:t>101.01 S25 Addressing Barriers to Articulation</w:t>
            </w:r>
            <w:r>
              <w:rPr>
                <w:noProof/>
                <w:webHidden/>
              </w:rPr>
              <w:tab/>
            </w:r>
            <w:r>
              <w:rPr>
                <w:noProof/>
                <w:webHidden/>
              </w:rPr>
              <w:fldChar w:fldCharType="begin"/>
            </w:r>
            <w:r>
              <w:rPr>
                <w:noProof/>
                <w:webHidden/>
              </w:rPr>
              <w:instrText xml:space="preserve"> PAGEREF _Toc197090160 \h </w:instrText>
            </w:r>
            <w:r>
              <w:rPr>
                <w:noProof/>
                <w:webHidden/>
              </w:rPr>
            </w:r>
            <w:r>
              <w:rPr>
                <w:noProof/>
                <w:webHidden/>
              </w:rPr>
              <w:fldChar w:fldCharType="separate"/>
            </w:r>
            <w:r>
              <w:rPr>
                <w:noProof/>
                <w:webHidden/>
              </w:rPr>
              <w:t>5</w:t>
            </w:r>
            <w:r>
              <w:rPr>
                <w:noProof/>
                <w:webHidden/>
              </w:rPr>
              <w:fldChar w:fldCharType="end"/>
            </w:r>
          </w:hyperlink>
        </w:p>
        <w:p w14:paraId="57D2D92F" w14:textId="2B3869A6" w:rsidR="00631015" w:rsidRDefault="00631015">
          <w:pPr>
            <w:pStyle w:val="TOC2"/>
            <w:tabs>
              <w:tab w:val="right" w:leader="dot" w:pos="9350"/>
            </w:tabs>
            <w:rPr>
              <w:noProof/>
              <w:szCs w:val="24"/>
              <w:lang w:eastAsia="en-US"/>
            </w:rPr>
          </w:pPr>
          <w:hyperlink w:anchor="_Toc197090161" w:history="1">
            <w:r w:rsidRPr="00E9390A">
              <w:rPr>
                <w:rStyle w:val="Hyperlink"/>
                <w:noProof/>
              </w:rPr>
              <w:t>101.02 Cal-GETC Approval of California Community Colleges Ethnic Studies Courses</w:t>
            </w:r>
            <w:r>
              <w:rPr>
                <w:noProof/>
                <w:webHidden/>
              </w:rPr>
              <w:tab/>
            </w:r>
            <w:r>
              <w:rPr>
                <w:noProof/>
                <w:webHidden/>
              </w:rPr>
              <w:fldChar w:fldCharType="begin"/>
            </w:r>
            <w:r>
              <w:rPr>
                <w:noProof/>
                <w:webHidden/>
              </w:rPr>
              <w:instrText xml:space="preserve"> PAGEREF _Toc197090161 \h </w:instrText>
            </w:r>
            <w:r>
              <w:rPr>
                <w:noProof/>
                <w:webHidden/>
              </w:rPr>
            </w:r>
            <w:r>
              <w:rPr>
                <w:noProof/>
                <w:webHidden/>
              </w:rPr>
              <w:fldChar w:fldCharType="separate"/>
            </w:r>
            <w:r>
              <w:rPr>
                <w:noProof/>
                <w:webHidden/>
              </w:rPr>
              <w:t>6</w:t>
            </w:r>
            <w:r>
              <w:rPr>
                <w:noProof/>
                <w:webHidden/>
              </w:rPr>
              <w:fldChar w:fldCharType="end"/>
            </w:r>
          </w:hyperlink>
        </w:p>
        <w:p w14:paraId="4EE2B56B" w14:textId="61368E16" w:rsidR="00631015" w:rsidRDefault="00631015">
          <w:pPr>
            <w:pStyle w:val="TOC2"/>
            <w:tabs>
              <w:tab w:val="right" w:leader="dot" w:pos="9350"/>
            </w:tabs>
            <w:rPr>
              <w:noProof/>
              <w:szCs w:val="24"/>
              <w:lang w:eastAsia="en-US"/>
            </w:rPr>
          </w:pPr>
          <w:hyperlink w:anchor="_Toc197090162" w:history="1">
            <w:r w:rsidRPr="00E9390A">
              <w:rPr>
                <w:rStyle w:val="Hyperlink"/>
                <w:noProof/>
              </w:rPr>
              <w:t>101.03 S25 Honoring Approved IGETC Lists for Cal-GETC</w:t>
            </w:r>
            <w:r>
              <w:rPr>
                <w:noProof/>
                <w:webHidden/>
              </w:rPr>
              <w:tab/>
            </w:r>
            <w:r>
              <w:rPr>
                <w:noProof/>
                <w:webHidden/>
              </w:rPr>
              <w:fldChar w:fldCharType="begin"/>
            </w:r>
            <w:r>
              <w:rPr>
                <w:noProof/>
                <w:webHidden/>
              </w:rPr>
              <w:instrText xml:space="preserve"> PAGEREF _Toc197090162 \h </w:instrText>
            </w:r>
            <w:r>
              <w:rPr>
                <w:noProof/>
                <w:webHidden/>
              </w:rPr>
            </w:r>
            <w:r>
              <w:rPr>
                <w:noProof/>
                <w:webHidden/>
              </w:rPr>
              <w:fldChar w:fldCharType="separate"/>
            </w:r>
            <w:r>
              <w:rPr>
                <w:noProof/>
                <w:webHidden/>
              </w:rPr>
              <w:t>7</w:t>
            </w:r>
            <w:r>
              <w:rPr>
                <w:noProof/>
                <w:webHidden/>
              </w:rPr>
              <w:fldChar w:fldCharType="end"/>
            </w:r>
          </w:hyperlink>
        </w:p>
        <w:p w14:paraId="6A569F70" w14:textId="5B90AE7D" w:rsidR="00631015" w:rsidRDefault="00631015">
          <w:pPr>
            <w:pStyle w:val="TOC1"/>
            <w:tabs>
              <w:tab w:val="right" w:leader="dot" w:pos="9350"/>
            </w:tabs>
            <w:rPr>
              <w:noProof/>
              <w:szCs w:val="24"/>
              <w:lang w:eastAsia="en-US"/>
            </w:rPr>
          </w:pPr>
          <w:hyperlink w:anchor="_Toc197090163" w:history="1">
            <w:r w:rsidRPr="00E9390A">
              <w:rPr>
                <w:rStyle w:val="Hyperlink"/>
                <w:noProof/>
              </w:rPr>
              <w:t>102 DEGREE AND CERTIFICATE REQUIREMENTS</w:t>
            </w:r>
            <w:r>
              <w:rPr>
                <w:noProof/>
                <w:webHidden/>
              </w:rPr>
              <w:tab/>
            </w:r>
            <w:r>
              <w:rPr>
                <w:noProof/>
                <w:webHidden/>
              </w:rPr>
              <w:fldChar w:fldCharType="begin"/>
            </w:r>
            <w:r>
              <w:rPr>
                <w:noProof/>
                <w:webHidden/>
              </w:rPr>
              <w:instrText xml:space="preserve"> PAGEREF _Toc197090163 \h </w:instrText>
            </w:r>
            <w:r>
              <w:rPr>
                <w:noProof/>
                <w:webHidden/>
              </w:rPr>
            </w:r>
            <w:r>
              <w:rPr>
                <w:noProof/>
                <w:webHidden/>
              </w:rPr>
              <w:fldChar w:fldCharType="separate"/>
            </w:r>
            <w:r>
              <w:rPr>
                <w:noProof/>
                <w:webHidden/>
              </w:rPr>
              <w:t>8</w:t>
            </w:r>
            <w:r>
              <w:rPr>
                <w:noProof/>
                <w:webHidden/>
              </w:rPr>
              <w:fldChar w:fldCharType="end"/>
            </w:r>
          </w:hyperlink>
        </w:p>
        <w:p w14:paraId="182F762A" w14:textId="0DB844F7" w:rsidR="00631015" w:rsidRDefault="00631015">
          <w:pPr>
            <w:pStyle w:val="TOC1"/>
            <w:tabs>
              <w:tab w:val="right" w:leader="dot" w:pos="9350"/>
            </w:tabs>
            <w:rPr>
              <w:noProof/>
              <w:szCs w:val="24"/>
              <w:lang w:eastAsia="en-US"/>
            </w:rPr>
          </w:pPr>
          <w:hyperlink w:anchor="_Toc197090164" w:history="1">
            <w:r w:rsidRPr="00E9390A">
              <w:rPr>
                <w:rStyle w:val="Hyperlink"/>
                <w:noProof/>
              </w:rPr>
              <w:t>103 GRADING POLICIES</w:t>
            </w:r>
            <w:r>
              <w:rPr>
                <w:noProof/>
                <w:webHidden/>
              </w:rPr>
              <w:tab/>
            </w:r>
            <w:r>
              <w:rPr>
                <w:noProof/>
                <w:webHidden/>
              </w:rPr>
              <w:fldChar w:fldCharType="begin"/>
            </w:r>
            <w:r>
              <w:rPr>
                <w:noProof/>
                <w:webHidden/>
              </w:rPr>
              <w:instrText xml:space="preserve"> PAGEREF _Toc197090164 \h </w:instrText>
            </w:r>
            <w:r>
              <w:rPr>
                <w:noProof/>
                <w:webHidden/>
              </w:rPr>
            </w:r>
            <w:r>
              <w:rPr>
                <w:noProof/>
                <w:webHidden/>
              </w:rPr>
              <w:fldChar w:fldCharType="separate"/>
            </w:r>
            <w:r>
              <w:rPr>
                <w:noProof/>
                <w:webHidden/>
              </w:rPr>
              <w:t>8</w:t>
            </w:r>
            <w:r>
              <w:rPr>
                <w:noProof/>
                <w:webHidden/>
              </w:rPr>
              <w:fldChar w:fldCharType="end"/>
            </w:r>
          </w:hyperlink>
        </w:p>
        <w:p w14:paraId="6FD4E100" w14:textId="5B0D9B97" w:rsidR="00631015" w:rsidRDefault="00631015">
          <w:pPr>
            <w:pStyle w:val="TOC2"/>
            <w:tabs>
              <w:tab w:val="right" w:leader="dot" w:pos="9350"/>
            </w:tabs>
            <w:rPr>
              <w:noProof/>
              <w:szCs w:val="24"/>
              <w:lang w:eastAsia="en-US"/>
            </w:rPr>
          </w:pPr>
          <w:hyperlink w:anchor="_Toc197090165" w:history="1">
            <w:r w:rsidRPr="00E9390A">
              <w:rPr>
                <w:rStyle w:val="Hyperlink"/>
                <w:noProof/>
              </w:rPr>
              <w:t>103.01 S25 Advancing Credit for Prior Learning in Alignment with the CCCCO Vision 2030 (Apprenticeships, Veterans Sprint, and Rising Scholars)</w:t>
            </w:r>
            <w:r>
              <w:rPr>
                <w:noProof/>
                <w:webHidden/>
              </w:rPr>
              <w:tab/>
            </w:r>
            <w:r>
              <w:rPr>
                <w:noProof/>
                <w:webHidden/>
              </w:rPr>
              <w:fldChar w:fldCharType="begin"/>
            </w:r>
            <w:r>
              <w:rPr>
                <w:noProof/>
                <w:webHidden/>
              </w:rPr>
              <w:instrText xml:space="preserve"> PAGEREF _Toc197090165 \h </w:instrText>
            </w:r>
            <w:r>
              <w:rPr>
                <w:noProof/>
                <w:webHidden/>
              </w:rPr>
            </w:r>
            <w:r>
              <w:rPr>
                <w:noProof/>
                <w:webHidden/>
              </w:rPr>
              <w:fldChar w:fldCharType="separate"/>
            </w:r>
            <w:r>
              <w:rPr>
                <w:noProof/>
                <w:webHidden/>
              </w:rPr>
              <w:t>8</w:t>
            </w:r>
            <w:r>
              <w:rPr>
                <w:noProof/>
                <w:webHidden/>
              </w:rPr>
              <w:fldChar w:fldCharType="end"/>
            </w:r>
          </w:hyperlink>
        </w:p>
        <w:p w14:paraId="54C8C299" w14:textId="6ABCD5F2" w:rsidR="00631015" w:rsidRDefault="00631015">
          <w:pPr>
            <w:pStyle w:val="TOC2"/>
            <w:tabs>
              <w:tab w:val="right" w:leader="dot" w:pos="9350"/>
            </w:tabs>
            <w:rPr>
              <w:noProof/>
              <w:szCs w:val="24"/>
              <w:lang w:eastAsia="en-US"/>
            </w:rPr>
          </w:pPr>
          <w:hyperlink w:anchor="_Toc197090166" w:history="1">
            <w:r w:rsidRPr="00E9390A">
              <w:rPr>
                <w:rStyle w:val="Hyperlink"/>
                <w:noProof/>
              </w:rPr>
              <w:t>103.04 S25 Eliminating Financial Barriers: No Fees for Credit by Exam for Credit for Prior Learning</w:t>
            </w:r>
            <w:r>
              <w:rPr>
                <w:noProof/>
                <w:webHidden/>
              </w:rPr>
              <w:tab/>
            </w:r>
            <w:r>
              <w:rPr>
                <w:noProof/>
                <w:webHidden/>
              </w:rPr>
              <w:fldChar w:fldCharType="begin"/>
            </w:r>
            <w:r>
              <w:rPr>
                <w:noProof/>
                <w:webHidden/>
              </w:rPr>
              <w:instrText xml:space="preserve"> PAGEREF _Toc197090166 \h </w:instrText>
            </w:r>
            <w:r>
              <w:rPr>
                <w:noProof/>
                <w:webHidden/>
              </w:rPr>
            </w:r>
            <w:r>
              <w:rPr>
                <w:noProof/>
                <w:webHidden/>
              </w:rPr>
              <w:fldChar w:fldCharType="separate"/>
            </w:r>
            <w:r>
              <w:rPr>
                <w:noProof/>
                <w:webHidden/>
              </w:rPr>
              <w:t>9</w:t>
            </w:r>
            <w:r>
              <w:rPr>
                <w:noProof/>
                <w:webHidden/>
              </w:rPr>
              <w:fldChar w:fldCharType="end"/>
            </w:r>
          </w:hyperlink>
        </w:p>
        <w:p w14:paraId="34DE3C54" w14:textId="5054FDEE" w:rsidR="00631015" w:rsidRDefault="00631015">
          <w:pPr>
            <w:pStyle w:val="TOC1"/>
            <w:tabs>
              <w:tab w:val="right" w:leader="dot" w:pos="9350"/>
            </w:tabs>
            <w:rPr>
              <w:noProof/>
              <w:szCs w:val="24"/>
              <w:lang w:eastAsia="en-US"/>
            </w:rPr>
          </w:pPr>
          <w:hyperlink w:anchor="_Toc197090167" w:history="1">
            <w:r w:rsidRPr="00E9390A">
              <w:rPr>
                <w:rStyle w:val="Hyperlink"/>
                <w:noProof/>
              </w:rPr>
              <w:t>104 EDUCATIONAL PROGRAM REQUIREMENTS</w:t>
            </w:r>
            <w:r>
              <w:rPr>
                <w:noProof/>
                <w:webHidden/>
              </w:rPr>
              <w:tab/>
            </w:r>
            <w:r>
              <w:rPr>
                <w:noProof/>
                <w:webHidden/>
              </w:rPr>
              <w:fldChar w:fldCharType="begin"/>
            </w:r>
            <w:r>
              <w:rPr>
                <w:noProof/>
                <w:webHidden/>
              </w:rPr>
              <w:instrText xml:space="preserve"> PAGEREF _Toc197090167 \h </w:instrText>
            </w:r>
            <w:r>
              <w:rPr>
                <w:noProof/>
                <w:webHidden/>
              </w:rPr>
            </w:r>
            <w:r>
              <w:rPr>
                <w:noProof/>
                <w:webHidden/>
              </w:rPr>
              <w:fldChar w:fldCharType="separate"/>
            </w:r>
            <w:r>
              <w:rPr>
                <w:noProof/>
                <w:webHidden/>
              </w:rPr>
              <w:t>10</w:t>
            </w:r>
            <w:r>
              <w:rPr>
                <w:noProof/>
                <w:webHidden/>
              </w:rPr>
              <w:fldChar w:fldCharType="end"/>
            </w:r>
          </w:hyperlink>
        </w:p>
        <w:p w14:paraId="4CBD26B3" w14:textId="0A4E7ADC" w:rsidR="00631015" w:rsidRDefault="00631015">
          <w:pPr>
            <w:pStyle w:val="TOC2"/>
            <w:tabs>
              <w:tab w:val="right" w:leader="dot" w:pos="9350"/>
            </w:tabs>
            <w:rPr>
              <w:noProof/>
              <w:szCs w:val="24"/>
              <w:lang w:eastAsia="en-US"/>
            </w:rPr>
          </w:pPr>
          <w:hyperlink w:anchor="_Toc197090168" w:history="1">
            <w:r w:rsidRPr="00E9390A">
              <w:rPr>
                <w:rStyle w:val="Hyperlink"/>
                <w:noProof/>
              </w:rPr>
              <w:t>104.01 S25 Reimagining Transfer Alignment Efforts</w:t>
            </w:r>
            <w:r>
              <w:rPr>
                <w:noProof/>
                <w:webHidden/>
              </w:rPr>
              <w:tab/>
            </w:r>
            <w:r>
              <w:rPr>
                <w:noProof/>
                <w:webHidden/>
              </w:rPr>
              <w:fldChar w:fldCharType="begin"/>
            </w:r>
            <w:r>
              <w:rPr>
                <w:noProof/>
                <w:webHidden/>
              </w:rPr>
              <w:instrText xml:space="preserve"> PAGEREF _Toc197090168 \h </w:instrText>
            </w:r>
            <w:r>
              <w:rPr>
                <w:noProof/>
                <w:webHidden/>
              </w:rPr>
            </w:r>
            <w:r>
              <w:rPr>
                <w:noProof/>
                <w:webHidden/>
              </w:rPr>
              <w:fldChar w:fldCharType="separate"/>
            </w:r>
            <w:r>
              <w:rPr>
                <w:noProof/>
                <w:webHidden/>
              </w:rPr>
              <w:t>10</w:t>
            </w:r>
            <w:r>
              <w:rPr>
                <w:noProof/>
                <w:webHidden/>
              </w:rPr>
              <w:fldChar w:fldCharType="end"/>
            </w:r>
          </w:hyperlink>
        </w:p>
        <w:p w14:paraId="0F82861C" w14:textId="51E894A6" w:rsidR="00631015" w:rsidRDefault="00631015">
          <w:pPr>
            <w:pStyle w:val="TOC2"/>
            <w:tabs>
              <w:tab w:val="right" w:leader="dot" w:pos="9350"/>
            </w:tabs>
            <w:rPr>
              <w:noProof/>
              <w:szCs w:val="24"/>
              <w:lang w:eastAsia="en-US"/>
            </w:rPr>
          </w:pPr>
          <w:hyperlink w:anchor="_Toc197090169" w:history="1">
            <w:r w:rsidRPr="00E9390A">
              <w:rPr>
                <w:rStyle w:val="Hyperlink"/>
                <w:noProof/>
              </w:rPr>
              <w:t>105.01 S25 Catalog Rights for Dual Enrollment Students</w:t>
            </w:r>
            <w:r>
              <w:rPr>
                <w:noProof/>
                <w:webHidden/>
              </w:rPr>
              <w:tab/>
            </w:r>
            <w:r>
              <w:rPr>
                <w:noProof/>
                <w:webHidden/>
              </w:rPr>
              <w:fldChar w:fldCharType="begin"/>
            </w:r>
            <w:r>
              <w:rPr>
                <w:noProof/>
                <w:webHidden/>
              </w:rPr>
              <w:instrText xml:space="preserve"> PAGEREF _Toc197090169 \h </w:instrText>
            </w:r>
            <w:r>
              <w:rPr>
                <w:noProof/>
                <w:webHidden/>
              </w:rPr>
            </w:r>
            <w:r>
              <w:rPr>
                <w:noProof/>
                <w:webHidden/>
              </w:rPr>
              <w:fldChar w:fldCharType="separate"/>
            </w:r>
            <w:r>
              <w:rPr>
                <w:noProof/>
                <w:webHidden/>
              </w:rPr>
              <w:t>11</w:t>
            </w:r>
            <w:r>
              <w:rPr>
                <w:noProof/>
                <w:webHidden/>
              </w:rPr>
              <w:fldChar w:fldCharType="end"/>
            </w:r>
          </w:hyperlink>
        </w:p>
        <w:p w14:paraId="1D5F94ED" w14:textId="177052C4" w:rsidR="00631015" w:rsidRDefault="00631015">
          <w:pPr>
            <w:pStyle w:val="TOC2"/>
            <w:tabs>
              <w:tab w:val="right" w:leader="dot" w:pos="9350"/>
            </w:tabs>
            <w:rPr>
              <w:noProof/>
              <w:szCs w:val="24"/>
              <w:lang w:eastAsia="en-US"/>
            </w:rPr>
          </w:pPr>
          <w:hyperlink w:anchor="_Toc197090170" w:history="1">
            <w:r w:rsidRPr="00E9390A">
              <w:rPr>
                <w:rStyle w:val="Hyperlink"/>
                <w:noProof/>
              </w:rPr>
              <w:t>105.02 S25 Maximizing Student Awareness: Promoting Credit for Prior Learning Awareness through Syllabus Statements and Other Appropriate Institutional Communications at California’s Community Colleges</w:t>
            </w:r>
            <w:r>
              <w:rPr>
                <w:noProof/>
                <w:webHidden/>
              </w:rPr>
              <w:tab/>
            </w:r>
            <w:r>
              <w:rPr>
                <w:noProof/>
                <w:webHidden/>
              </w:rPr>
              <w:fldChar w:fldCharType="begin"/>
            </w:r>
            <w:r>
              <w:rPr>
                <w:noProof/>
                <w:webHidden/>
              </w:rPr>
              <w:instrText xml:space="preserve"> PAGEREF _Toc197090170 \h </w:instrText>
            </w:r>
            <w:r>
              <w:rPr>
                <w:noProof/>
                <w:webHidden/>
              </w:rPr>
            </w:r>
            <w:r>
              <w:rPr>
                <w:noProof/>
                <w:webHidden/>
              </w:rPr>
              <w:fldChar w:fldCharType="separate"/>
            </w:r>
            <w:r>
              <w:rPr>
                <w:noProof/>
                <w:webHidden/>
              </w:rPr>
              <w:t>12</w:t>
            </w:r>
            <w:r>
              <w:rPr>
                <w:noProof/>
                <w:webHidden/>
              </w:rPr>
              <w:fldChar w:fldCharType="end"/>
            </w:r>
          </w:hyperlink>
        </w:p>
        <w:p w14:paraId="76E0F6C6" w14:textId="7A60AB94" w:rsidR="00631015" w:rsidRDefault="00631015">
          <w:pPr>
            <w:pStyle w:val="TOC1"/>
            <w:tabs>
              <w:tab w:val="right" w:leader="dot" w:pos="9350"/>
            </w:tabs>
            <w:rPr>
              <w:noProof/>
              <w:szCs w:val="24"/>
              <w:lang w:eastAsia="en-US"/>
            </w:rPr>
          </w:pPr>
          <w:hyperlink w:anchor="_Toc197090171" w:history="1">
            <w:r w:rsidRPr="00E9390A">
              <w:rPr>
                <w:rStyle w:val="Hyperlink"/>
                <w:noProof/>
              </w:rPr>
              <w:t>106 GOVERNANCE STRUCTURES</w:t>
            </w:r>
            <w:r>
              <w:rPr>
                <w:noProof/>
                <w:webHidden/>
              </w:rPr>
              <w:tab/>
            </w:r>
            <w:r>
              <w:rPr>
                <w:noProof/>
                <w:webHidden/>
              </w:rPr>
              <w:fldChar w:fldCharType="begin"/>
            </w:r>
            <w:r>
              <w:rPr>
                <w:noProof/>
                <w:webHidden/>
              </w:rPr>
              <w:instrText xml:space="preserve"> PAGEREF _Toc197090171 \h </w:instrText>
            </w:r>
            <w:r>
              <w:rPr>
                <w:noProof/>
                <w:webHidden/>
              </w:rPr>
            </w:r>
            <w:r>
              <w:rPr>
                <w:noProof/>
                <w:webHidden/>
              </w:rPr>
              <w:fldChar w:fldCharType="separate"/>
            </w:r>
            <w:r>
              <w:rPr>
                <w:noProof/>
                <w:webHidden/>
              </w:rPr>
              <w:t>12</w:t>
            </w:r>
            <w:r>
              <w:rPr>
                <w:noProof/>
                <w:webHidden/>
              </w:rPr>
              <w:fldChar w:fldCharType="end"/>
            </w:r>
          </w:hyperlink>
        </w:p>
        <w:p w14:paraId="2F68105A" w14:textId="0253B305" w:rsidR="00631015" w:rsidRDefault="00631015">
          <w:pPr>
            <w:pStyle w:val="TOC2"/>
            <w:tabs>
              <w:tab w:val="right" w:leader="dot" w:pos="9350"/>
            </w:tabs>
            <w:rPr>
              <w:noProof/>
              <w:szCs w:val="24"/>
              <w:lang w:eastAsia="en-US"/>
            </w:rPr>
          </w:pPr>
          <w:hyperlink w:anchor="_Toc197090172" w:history="1">
            <w:r w:rsidRPr="00E9390A">
              <w:rPr>
                <w:rStyle w:val="Hyperlink"/>
                <w:noProof/>
              </w:rPr>
              <w:t>106.01 S25 Advocating for Inclusive Participation of Part-Time Faculty in California Community College Local Academic Senates</w:t>
            </w:r>
            <w:r>
              <w:rPr>
                <w:noProof/>
                <w:webHidden/>
              </w:rPr>
              <w:tab/>
            </w:r>
            <w:r>
              <w:rPr>
                <w:noProof/>
                <w:webHidden/>
              </w:rPr>
              <w:fldChar w:fldCharType="begin"/>
            </w:r>
            <w:r>
              <w:rPr>
                <w:noProof/>
                <w:webHidden/>
              </w:rPr>
              <w:instrText xml:space="preserve"> PAGEREF _Toc197090172 \h </w:instrText>
            </w:r>
            <w:r>
              <w:rPr>
                <w:noProof/>
                <w:webHidden/>
              </w:rPr>
            </w:r>
            <w:r>
              <w:rPr>
                <w:noProof/>
                <w:webHidden/>
              </w:rPr>
              <w:fldChar w:fldCharType="separate"/>
            </w:r>
            <w:r>
              <w:rPr>
                <w:noProof/>
                <w:webHidden/>
              </w:rPr>
              <w:t>12</w:t>
            </w:r>
            <w:r>
              <w:rPr>
                <w:noProof/>
                <w:webHidden/>
              </w:rPr>
              <w:fldChar w:fldCharType="end"/>
            </w:r>
          </w:hyperlink>
        </w:p>
        <w:p w14:paraId="4648214A" w14:textId="316F07D2" w:rsidR="00631015" w:rsidRDefault="00631015">
          <w:pPr>
            <w:pStyle w:val="TOC1"/>
            <w:tabs>
              <w:tab w:val="right" w:leader="dot" w:pos="9350"/>
            </w:tabs>
            <w:rPr>
              <w:noProof/>
              <w:szCs w:val="24"/>
              <w:lang w:eastAsia="en-US"/>
            </w:rPr>
          </w:pPr>
          <w:hyperlink w:anchor="_Toc197090173" w:history="1">
            <w:r w:rsidRPr="00E9390A">
              <w:rPr>
                <w:rStyle w:val="Hyperlink"/>
                <w:noProof/>
              </w:rPr>
              <w:t>111 ACADEMIC SENATE FOR CALIFORNIA COMMUNITY COLLEGES</w:t>
            </w:r>
            <w:r>
              <w:rPr>
                <w:noProof/>
                <w:webHidden/>
              </w:rPr>
              <w:tab/>
            </w:r>
            <w:r>
              <w:rPr>
                <w:noProof/>
                <w:webHidden/>
              </w:rPr>
              <w:fldChar w:fldCharType="begin"/>
            </w:r>
            <w:r>
              <w:rPr>
                <w:noProof/>
                <w:webHidden/>
              </w:rPr>
              <w:instrText xml:space="preserve"> PAGEREF _Toc197090173 \h </w:instrText>
            </w:r>
            <w:r>
              <w:rPr>
                <w:noProof/>
                <w:webHidden/>
              </w:rPr>
            </w:r>
            <w:r>
              <w:rPr>
                <w:noProof/>
                <w:webHidden/>
              </w:rPr>
              <w:fldChar w:fldCharType="separate"/>
            </w:r>
            <w:r>
              <w:rPr>
                <w:noProof/>
                <w:webHidden/>
              </w:rPr>
              <w:t>13</w:t>
            </w:r>
            <w:r>
              <w:rPr>
                <w:noProof/>
                <w:webHidden/>
              </w:rPr>
              <w:fldChar w:fldCharType="end"/>
            </w:r>
          </w:hyperlink>
        </w:p>
        <w:p w14:paraId="5831F07E" w14:textId="28B3EF46" w:rsidR="00631015" w:rsidRDefault="00631015">
          <w:pPr>
            <w:pStyle w:val="TOC2"/>
            <w:tabs>
              <w:tab w:val="right" w:leader="dot" w:pos="9350"/>
            </w:tabs>
            <w:rPr>
              <w:noProof/>
              <w:szCs w:val="24"/>
              <w:lang w:eastAsia="en-US"/>
            </w:rPr>
          </w:pPr>
          <w:hyperlink w:anchor="_Toc197090174" w:history="1">
            <w:r w:rsidRPr="00E9390A">
              <w:rPr>
                <w:rStyle w:val="Hyperlink"/>
                <w:noProof/>
              </w:rPr>
              <w:t>111.01 S25 Update the ASCCC Document, “Standards of Practice for California Community College Counseling Faculty and Programs”</w:t>
            </w:r>
            <w:r>
              <w:rPr>
                <w:noProof/>
                <w:webHidden/>
              </w:rPr>
              <w:tab/>
            </w:r>
            <w:r>
              <w:rPr>
                <w:noProof/>
                <w:webHidden/>
              </w:rPr>
              <w:fldChar w:fldCharType="begin"/>
            </w:r>
            <w:r>
              <w:rPr>
                <w:noProof/>
                <w:webHidden/>
              </w:rPr>
              <w:instrText xml:space="preserve"> PAGEREF _Toc197090174 \h </w:instrText>
            </w:r>
            <w:r>
              <w:rPr>
                <w:noProof/>
                <w:webHidden/>
              </w:rPr>
            </w:r>
            <w:r>
              <w:rPr>
                <w:noProof/>
                <w:webHidden/>
              </w:rPr>
              <w:fldChar w:fldCharType="separate"/>
            </w:r>
            <w:r>
              <w:rPr>
                <w:noProof/>
                <w:webHidden/>
              </w:rPr>
              <w:t>13</w:t>
            </w:r>
            <w:r>
              <w:rPr>
                <w:noProof/>
                <w:webHidden/>
              </w:rPr>
              <w:fldChar w:fldCharType="end"/>
            </w:r>
          </w:hyperlink>
        </w:p>
        <w:p w14:paraId="0EE3FF19" w14:textId="650DE97D" w:rsidR="00631015" w:rsidRDefault="00631015">
          <w:pPr>
            <w:pStyle w:val="TOC2"/>
            <w:tabs>
              <w:tab w:val="right" w:leader="dot" w:pos="9350"/>
            </w:tabs>
            <w:rPr>
              <w:noProof/>
              <w:szCs w:val="24"/>
              <w:lang w:eastAsia="en-US"/>
            </w:rPr>
          </w:pPr>
          <w:hyperlink w:anchor="_Toc197090175" w:history="1">
            <w:r w:rsidRPr="00E9390A">
              <w:rPr>
                <w:rStyle w:val="Hyperlink"/>
                <w:noProof/>
              </w:rPr>
              <w:t>111.02 S25 Senator Emeritus for Dr. Matthew “Matt” Merrill Clark (Posthumous)</w:t>
            </w:r>
            <w:r>
              <w:rPr>
                <w:noProof/>
                <w:webHidden/>
              </w:rPr>
              <w:tab/>
            </w:r>
            <w:r>
              <w:rPr>
                <w:noProof/>
                <w:webHidden/>
              </w:rPr>
              <w:fldChar w:fldCharType="begin"/>
            </w:r>
            <w:r>
              <w:rPr>
                <w:noProof/>
                <w:webHidden/>
              </w:rPr>
              <w:instrText xml:space="preserve"> PAGEREF _Toc197090175 \h </w:instrText>
            </w:r>
            <w:r>
              <w:rPr>
                <w:noProof/>
                <w:webHidden/>
              </w:rPr>
            </w:r>
            <w:r>
              <w:rPr>
                <w:noProof/>
                <w:webHidden/>
              </w:rPr>
              <w:fldChar w:fldCharType="separate"/>
            </w:r>
            <w:r>
              <w:rPr>
                <w:noProof/>
                <w:webHidden/>
              </w:rPr>
              <w:t>14</w:t>
            </w:r>
            <w:r>
              <w:rPr>
                <w:noProof/>
                <w:webHidden/>
              </w:rPr>
              <w:fldChar w:fldCharType="end"/>
            </w:r>
          </w:hyperlink>
        </w:p>
        <w:p w14:paraId="5BBE1615" w14:textId="16C42DA4" w:rsidR="00631015" w:rsidRDefault="00631015">
          <w:pPr>
            <w:pStyle w:val="TOC2"/>
            <w:tabs>
              <w:tab w:val="right" w:leader="dot" w:pos="9350"/>
            </w:tabs>
            <w:rPr>
              <w:noProof/>
              <w:szCs w:val="24"/>
              <w:lang w:eastAsia="en-US"/>
            </w:rPr>
          </w:pPr>
          <w:hyperlink w:anchor="_Toc197090176" w:history="1">
            <w:r w:rsidRPr="00E9390A">
              <w:rPr>
                <w:rStyle w:val="Hyperlink"/>
                <w:noProof/>
              </w:rPr>
              <w:t>111.03 S25 Senator Emeritus for Dr. Peter John Stanskas (Posthumous)</w:t>
            </w:r>
            <w:r>
              <w:rPr>
                <w:noProof/>
                <w:webHidden/>
              </w:rPr>
              <w:tab/>
            </w:r>
            <w:r>
              <w:rPr>
                <w:noProof/>
                <w:webHidden/>
              </w:rPr>
              <w:fldChar w:fldCharType="begin"/>
            </w:r>
            <w:r>
              <w:rPr>
                <w:noProof/>
                <w:webHidden/>
              </w:rPr>
              <w:instrText xml:space="preserve"> PAGEREF _Toc197090176 \h </w:instrText>
            </w:r>
            <w:r>
              <w:rPr>
                <w:noProof/>
                <w:webHidden/>
              </w:rPr>
            </w:r>
            <w:r>
              <w:rPr>
                <w:noProof/>
                <w:webHidden/>
              </w:rPr>
              <w:fldChar w:fldCharType="separate"/>
            </w:r>
            <w:r>
              <w:rPr>
                <w:noProof/>
                <w:webHidden/>
              </w:rPr>
              <w:t>15</w:t>
            </w:r>
            <w:r>
              <w:rPr>
                <w:noProof/>
                <w:webHidden/>
              </w:rPr>
              <w:fldChar w:fldCharType="end"/>
            </w:r>
          </w:hyperlink>
        </w:p>
        <w:p w14:paraId="2661FFB8" w14:textId="7775A2B8" w:rsidR="00631015" w:rsidRDefault="00631015">
          <w:pPr>
            <w:pStyle w:val="TOC2"/>
            <w:tabs>
              <w:tab w:val="right" w:leader="dot" w:pos="9350"/>
            </w:tabs>
            <w:rPr>
              <w:noProof/>
              <w:szCs w:val="24"/>
              <w:lang w:eastAsia="en-US"/>
            </w:rPr>
          </w:pPr>
          <w:hyperlink w:anchor="_Toc197090177" w:history="1">
            <w:r w:rsidRPr="00E9390A">
              <w:rPr>
                <w:rStyle w:val="Hyperlink"/>
                <w:noProof/>
              </w:rPr>
              <w:t>111.04 S25 Support of Sanctuary Campus Designations</w:t>
            </w:r>
            <w:r>
              <w:rPr>
                <w:noProof/>
                <w:webHidden/>
              </w:rPr>
              <w:tab/>
            </w:r>
            <w:r>
              <w:rPr>
                <w:noProof/>
                <w:webHidden/>
              </w:rPr>
              <w:fldChar w:fldCharType="begin"/>
            </w:r>
            <w:r>
              <w:rPr>
                <w:noProof/>
                <w:webHidden/>
              </w:rPr>
              <w:instrText xml:space="preserve"> PAGEREF _Toc197090177 \h </w:instrText>
            </w:r>
            <w:r>
              <w:rPr>
                <w:noProof/>
                <w:webHidden/>
              </w:rPr>
            </w:r>
            <w:r>
              <w:rPr>
                <w:noProof/>
                <w:webHidden/>
              </w:rPr>
              <w:fldChar w:fldCharType="separate"/>
            </w:r>
            <w:r>
              <w:rPr>
                <w:noProof/>
                <w:webHidden/>
              </w:rPr>
              <w:t>16</w:t>
            </w:r>
            <w:r>
              <w:rPr>
                <w:noProof/>
                <w:webHidden/>
              </w:rPr>
              <w:fldChar w:fldCharType="end"/>
            </w:r>
          </w:hyperlink>
        </w:p>
        <w:p w14:paraId="189BF263" w14:textId="764AFA8B" w:rsidR="00631015" w:rsidRDefault="00631015">
          <w:pPr>
            <w:pStyle w:val="TOC2"/>
            <w:tabs>
              <w:tab w:val="right" w:leader="dot" w:pos="9350"/>
            </w:tabs>
            <w:rPr>
              <w:noProof/>
              <w:szCs w:val="24"/>
              <w:lang w:eastAsia="en-US"/>
            </w:rPr>
          </w:pPr>
          <w:hyperlink w:anchor="_Toc197090178" w:history="1">
            <w:r w:rsidRPr="00E9390A">
              <w:rPr>
                <w:rStyle w:val="Hyperlink"/>
                <w:noProof/>
              </w:rPr>
              <w:t>111.05 S25 Advocating for the Inclusion of California Community Colleges Classified Senates in Title 5</w:t>
            </w:r>
            <w:r>
              <w:rPr>
                <w:noProof/>
                <w:webHidden/>
              </w:rPr>
              <w:tab/>
            </w:r>
            <w:r>
              <w:rPr>
                <w:noProof/>
                <w:webHidden/>
              </w:rPr>
              <w:fldChar w:fldCharType="begin"/>
            </w:r>
            <w:r>
              <w:rPr>
                <w:noProof/>
                <w:webHidden/>
              </w:rPr>
              <w:instrText xml:space="preserve"> PAGEREF _Toc197090178 \h </w:instrText>
            </w:r>
            <w:r>
              <w:rPr>
                <w:noProof/>
                <w:webHidden/>
              </w:rPr>
            </w:r>
            <w:r>
              <w:rPr>
                <w:noProof/>
                <w:webHidden/>
              </w:rPr>
              <w:fldChar w:fldCharType="separate"/>
            </w:r>
            <w:r>
              <w:rPr>
                <w:noProof/>
                <w:webHidden/>
              </w:rPr>
              <w:t>17</w:t>
            </w:r>
            <w:r>
              <w:rPr>
                <w:noProof/>
                <w:webHidden/>
              </w:rPr>
              <w:fldChar w:fldCharType="end"/>
            </w:r>
          </w:hyperlink>
        </w:p>
        <w:p w14:paraId="31AE90D0" w14:textId="3A75817B" w:rsidR="00631015" w:rsidRDefault="00631015">
          <w:pPr>
            <w:pStyle w:val="TOC2"/>
            <w:tabs>
              <w:tab w:val="right" w:leader="dot" w:pos="9350"/>
            </w:tabs>
            <w:rPr>
              <w:noProof/>
              <w:szCs w:val="24"/>
              <w:lang w:eastAsia="en-US"/>
            </w:rPr>
          </w:pPr>
          <w:hyperlink w:anchor="_Toc197090179" w:history="1">
            <w:r w:rsidRPr="00E9390A">
              <w:rPr>
                <w:rStyle w:val="Hyperlink"/>
                <w:noProof/>
              </w:rPr>
              <w:t>111.06 S25 Unapologetic Commitment to IDEAA and Academic Freedom</w:t>
            </w:r>
            <w:r>
              <w:rPr>
                <w:noProof/>
                <w:webHidden/>
              </w:rPr>
              <w:tab/>
            </w:r>
            <w:r>
              <w:rPr>
                <w:noProof/>
                <w:webHidden/>
              </w:rPr>
              <w:fldChar w:fldCharType="begin"/>
            </w:r>
            <w:r>
              <w:rPr>
                <w:noProof/>
                <w:webHidden/>
              </w:rPr>
              <w:instrText xml:space="preserve"> PAGEREF _Toc197090179 \h </w:instrText>
            </w:r>
            <w:r>
              <w:rPr>
                <w:noProof/>
                <w:webHidden/>
              </w:rPr>
            </w:r>
            <w:r>
              <w:rPr>
                <w:noProof/>
                <w:webHidden/>
              </w:rPr>
              <w:fldChar w:fldCharType="separate"/>
            </w:r>
            <w:r>
              <w:rPr>
                <w:noProof/>
                <w:webHidden/>
              </w:rPr>
              <w:t>18</w:t>
            </w:r>
            <w:r>
              <w:rPr>
                <w:noProof/>
                <w:webHidden/>
              </w:rPr>
              <w:fldChar w:fldCharType="end"/>
            </w:r>
          </w:hyperlink>
        </w:p>
        <w:p w14:paraId="10F65508" w14:textId="47B08606" w:rsidR="00631015" w:rsidRDefault="00631015">
          <w:pPr>
            <w:pStyle w:val="TOC2"/>
            <w:tabs>
              <w:tab w:val="right" w:leader="dot" w:pos="9350"/>
            </w:tabs>
            <w:rPr>
              <w:noProof/>
              <w:szCs w:val="24"/>
              <w:lang w:eastAsia="en-US"/>
            </w:rPr>
          </w:pPr>
          <w:hyperlink w:anchor="_Toc197090180" w:history="1">
            <w:r w:rsidRPr="00E9390A">
              <w:rPr>
                <w:rStyle w:val="Hyperlink"/>
                <w:noProof/>
              </w:rPr>
              <w:t>111.07 S25 Laboratory Faculty and College Governance</w:t>
            </w:r>
            <w:r>
              <w:rPr>
                <w:noProof/>
                <w:webHidden/>
              </w:rPr>
              <w:tab/>
            </w:r>
            <w:r>
              <w:rPr>
                <w:noProof/>
                <w:webHidden/>
              </w:rPr>
              <w:fldChar w:fldCharType="begin"/>
            </w:r>
            <w:r>
              <w:rPr>
                <w:noProof/>
                <w:webHidden/>
              </w:rPr>
              <w:instrText xml:space="preserve"> PAGEREF _Toc197090180 \h </w:instrText>
            </w:r>
            <w:r>
              <w:rPr>
                <w:noProof/>
                <w:webHidden/>
              </w:rPr>
            </w:r>
            <w:r>
              <w:rPr>
                <w:noProof/>
                <w:webHidden/>
              </w:rPr>
              <w:fldChar w:fldCharType="separate"/>
            </w:r>
            <w:r>
              <w:rPr>
                <w:noProof/>
                <w:webHidden/>
              </w:rPr>
              <w:t>19</w:t>
            </w:r>
            <w:r>
              <w:rPr>
                <w:noProof/>
                <w:webHidden/>
              </w:rPr>
              <w:fldChar w:fldCharType="end"/>
            </w:r>
          </w:hyperlink>
        </w:p>
        <w:p w14:paraId="5528C2BC" w14:textId="5067D554" w:rsidR="00631015" w:rsidRDefault="00631015">
          <w:pPr>
            <w:pStyle w:val="TOC2"/>
            <w:tabs>
              <w:tab w:val="right" w:leader="dot" w:pos="9350"/>
            </w:tabs>
            <w:rPr>
              <w:noProof/>
              <w:szCs w:val="24"/>
              <w:lang w:eastAsia="en-US"/>
            </w:rPr>
          </w:pPr>
          <w:hyperlink w:anchor="_Toc197090181" w:history="1">
            <w:r w:rsidRPr="00E9390A">
              <w:rPr>
                <w:rStyle w:val="Hyperlink"/>
                <w:noProof/>
              </w:rPr>
              <w:t>111.08 S25 Advocating for Systemwide Access to AI Tools and Training</w:t>
            </w:r>
            <w:r>
              <w:rPr>
                <w:noProof/>
                <w:webHidden/>
              </w:rPr>
              <w:tab/>
            </w:r>
            <w:r>
              <w:rPr>
                <w:noProof/>
                <w:webHidden/>
              </w:rPr>
              <w:fldChar w:fldCharType="begin"/>
            </w:r>
            <w:r>
              <w:rPr>
                <w:noProof/>
                <w:webHidden/>
              </w:rPr>
              <w:instrText xml:space="preserve"> PAGEREF _Toc197090181 \h </w:instrText>
            </w:r>
            <w:r>
              <w:rPr>
                <w:noProof/>
                <w:webHidden/>
              </w:rPr>
            </w:r>
            <w:r>
              <w:rPr>
                <w:noProof/>
                <w:webHidden/>
              </w:rPr>
              <w:fldChar w:fldCharType="separate"/>
            </w:r>
            <w:r>
              <w:rPr>
                <w:noProof/>
                <w:webHidden/>
              </w:rPr>
              <w:t>20</w:t>
            </w:r>
            <w:r>
              <w:rPr>
                <w:noProof/>
                <w:webHidden/>
              </w:rPr>
              <w:fldChar w:fldCharType="end"/>
            </w:r>
          </w:hyperlink>
        </w:p>
        <w:p w14:paraId="17C3944B" w14:textId="6005D2F1" w:rsidR="00631015" w:rsidRDefault="00631015">
          <w:pPr>
            <w:pStyle w:val="TOC2"/>
            <w:tabs>
              <w:tab w:val="right" w:leader="dot" w:pos="9350"/>
            </w:tabs>
            <w:rPr>
              <w:noProof/>
              <w:szCs w:val="24"/>
              <w:lang w:eastAsia="en-US"/>
            </w:rPr>
          </w:pPr>
          <w:hyperlink w:anchor="_Toc197090182" w:history="1">
            <w:r w:rsidRPr="00E9390A">
              <w:rPr>
                <w:rStyle w:val="Hyperlink"/>
                <w:noProof/>
              </w:rPr>
              <w:t>111.09 S25 Supporting a United Faculty Workplace for California Community Colleges</w:t>
            </w:r>
            <w:r>
              <w:rPr>
                <w:noProof/>
                <w:webHidden/>
              </w:rPr>
              <w:tab/>
            </w:r>
            <w:r>
              <w:rPr>
                <w:noProof/>
                <w:webHidden/>
              </w:rPr>
              <w:fldChar w:fldCharType="begin"/>
            </w:r>
            <w:r>
              <w:rPr>
                <w:noProof/>
                <w:webHidden/>
              </w:rPr>
              <w:instrText xml:space="preserve"> PAGEREF _Toc197090182 \h </w:instrText>
            </w:r>
            <w:r>
              <w:rPr>
                <w:noProof/>
                <w:webHidden/>
              </w:rPr>
            </w:r>
            <w:r>
              <w:rPr>
                <w:noProof/>
                <w:webHidden/>
              </w:rPr>
              <w:fldChar w:fldCharType="separate"/>
            </w:r>
            <w:r>
              <w:rPr>
                <w:noProof/>
                <w:webHidden/>
              </w:rPr>
              <w:t>21</w:t>
            </w:r>
            <w:r>
              <w:rPr>
                <w:noProof/>
                <w:webHidden/>
              </w:rPr>
              <w:fldChar w:fldCharType="end"/>
            </w:r>
          </w:hyperlink>
        </w:p>
        <w:p w14:paraId="451CCD99" w14:textId="261E9C67" w:rsidR="00631015" w:rsidRDefault="00631015">
          <w:pPr>
            <w:pStyle w:val="TOC1"/>
            <w:tabs>
              <w:tab w:val="right" w:leader="dot" w:pos="9350"/>
            </w:tabs>
            <w:rPr>
              <w:noProof/>
              <w:szCs w:val="24"/>
              <w:lang w:eastAsia="en-US"/>
            </w:rPr>
          </w:pPr>
          <w:hyperlink w:anchor="_Toc197090183" w:history="1">
            <w:r w:rsidRPr="00E9390A">
              <w:rPr>
                <w:rStyle w:val="Hyperlink"/>
                <w:noProof/>
              </w:rPr>
              <w:t>112 HIRING, MINIMUM QUALIFICATIONS, EQUIVALENCY, AND EVALUATIONS</w:t>
            </w:r>
            <w:r>
              <w:rPr>
                <w:noProof/>
                <w:webHidden/>
              </w:rPr>
              <w:tab/>
            </w:r>
            <w:r>
              <w:rPr>
                <w:noProof/>
                <w:webHidden/>
              </w:rPr>
              <w:fldChar w:fldCharType="begin"/>
            </w:r>
            <w:r>
              <w:rPr>
                <w:noProof/>
                <w:webHidden/>
              </w:rPr>
              <w:instrText xml:space="preserve"> PAGEREF _Toc197090183 \h </w:instrText>
            </w:r>
            <w:r>
              <w:rPr>
                <w:noProof/>
                <w:webHidden/>
              </w:rPr>
            </w:r>
            <w:r>
              <w:rPr>
                <w:noProof/>
                <w:webHidden/>
              </w:rPr>
              <w:fldChar w:fldCharType="separate"/>
            </w:r>
            <w:r>
              <w:rPr>
                <w:noProof/>
                <w:webHidden/>
              </w:rPr>
              <w:t>22</w:t>
            </w:r>
            <w:r>
              <w:rPr>
                <w:noProof/>
                <w:webHidden/>
              </w:rPr>
              <w:fldChar w:fldCharType="end"/>
            </w:r>
          </w:hyperlink>
        </w:p>
        <w:p w14:paraId="7D0843F0" w14:textId="24CAD6B5" w:rsidR="00631015" w:rsidRDefault="00631015">
          <w:pPr>
            <w:pStyle w:val="TOC2"/>
            <w:tabs>
              <w:tab w:val="right" w:leader="dot" w:pos="9350"/>
            </w:tabs>
            <w:rPr>
              <w:noProof/>
              <w:szCs w:val="24"/>
              <w:lang w:eastAsia="en-US"/>
            </w:rPr>
          </w:pPr>
          <w:hyperlink w:anchor="_Toc197090184" w:history="1">
            <w:r w:rsidRPr="00E9390A">
              <w:rPr>
                <w:rStyle w:val="Hyperlink"/>
                <w:noProof/>
              </w:rPr>
              <w:t>112.01 S25 Disciplines List – Art</w:t>
            </w:r>
            <w:r>
              <w:rPr>
                <w:noProof/>
                <w:webHidden/>
              </w:rPr>
              <w:tab/>
            </w:r>
            <w:r>
              <w:rPr>
                <w:noProof/>
                <w:webHidden/>
              </w:rPr>
              <w:fldChar w:fldCharType="begin"/>
            </w:r>
            <w:r>
              <w:rPr>
                <w:noProof/>
                <w:webHidden/>
              </w:rPr>
              <w:instrText xml:space="preserve"> PAGEREF _Toc197090184 \h </w:instrText>
            </w:r>
            <w:r>
              <w:rPr>
                <w:noProof/>
                <w:webHidden/>
              </w:rPr>
            </w:r>
            <w:r>
              <w:rPr>
                <w:noProof/>
                <w:webHidden/>
              </w:rPr>
              <w:fldChar w:fldCharType="separate"/>
            </w:r>
            <w:r>
              <w:rPr>
                <w:noProof/>
                <w:webHidden/>
              </w:rPr>
              <w:t>22</w:t>
            </w:r>
            <w:r>
              <w:rPr>
                <w:noProof/>
                <w:webHidden/>
              </w:rPr>
              <w:fldChar w:fldCharType="end"/>
            </w:r>
          </w:hyperlink>
        </w:p>
        <w:p w14:paraId="41235AD4" w14:textId="341060C3" w:rsidR="00631015" w:rsidRDefault="00631015">
          <w:pPr>
            <w:pStyle w:val="TOC2"/>
            <w:tabs>
              <w:tab w:val="right" w:leader="dot" w:pos="9350"/>
            </w:tabs>
            <w:rPr>
              <w:noProof/>
              <w:szCs w:val="24"/>
              <w:lang w:eastAsia="en-US"/>
            </w:rPr>
          </w:pPr>
          <w:hyperlink w:anchor="_Toc197090185" w:history="1">
            <w:r w:rsidRPr="00E9390A">
              <w:rPr>
                <w:rStyle w:val="Hyperlink"/>
                <w:noProof/>
              </w:rPr>
              <w:t>112.02 S25 Disciplines List – Physical Education (Adapted)</w:t>
            </w:r>
            <w:r>
              <w:rPr>
                <w:noProof/>
                <w:webHidden/>
              </w:rPr>
              <w:tab/>
            </w:r>
            <w:r>
              <w:rPr>
                <w:noProof/>
                <w:webHidden/>
              </w:rPr>
              <w:fldChar w:fldCharType="begin"/>
            </w:r>
            <w:r>
              <w:rPr>
                <w:noProof/>
                <w:webHidden/>
              </w:rPr>
              <w:instrText xml:space="preserve"> PAGEREF _Toc197090185 \h </w:instrText>
            </w:r>
            <w:r>
              <w:rPr>
                <w:noProof/>
                <w:webHidden/>
              </w:rPr>
            </w:r>
            <w:r>
              <w:rPr>
                <w:noProof/>
                <w:webHidden/>
              </w:rPr>
              <w:fldChar w:fldCharType="separate"/>
            </w:r>
            <w:r>
              <w:rPr>
                <w:noProof/>
                <w:webHidden/>
              </w:rPr>
              <w:t>23</w:t>
            </w:r>
            <w:r>
              <w:rPr>
                <w:noProof/>
                <w:webHidden/>
              </w:rPr>
              <w:fldChar w:fldCharType="end"/>
            </w:r>
          </w:hyperlink>
        </w:p>
        <w:p w14:paraId="04604E9C" w14:textId="2A18842E" w:rsidR="00631015" w:rsidRDefault="00631015">
          <w:pPr>
            <w:pStyle w:val="TOC2"/>
            <w:tabs>
              <w:tab w:val="right" w:leader="dot" w:pos="9350"/>
            </w:tabs>
            <w:rPr>
              <w:noProof/>
              <w:szCs w:val="24"/>
              <w:lang w:eastAsia="en-US"/>
            </w:rPr>
          </w:pPr>
          <w:hyperlink w:anchor="_Toc197090186" w:history="1">
            <w:r w:rsidRPr="00E9390A">
              <w:rPr>
                <w:rStyle w:val="Hyperlink"/>
                <w:noProof/>
              </w:rPr>
              <w:t>112.03 S25 Disciplines List – Brewing, Fermentation, and Distillery Sciences</w:t>
            </w:r>
            <w:r>
              <w:rPr>
                <w:noProof/>
                <w:webHidden/>
              </w:rPr>
              <w:tab/>
            </w:r>
            <w:r>
              <w:rPr>
                <w:noProof/>
                <w:webHidden/>
              </w:rPr>
              <w:fldChar w:fldCharType="begin"/>
            </w:r>
            <w:r>
              <w:rPr>
                <w:noProof/>
                <w:webHidden/>
              </w:rPr>
              <w:instrText xml:space="preserve"> PAGEREF _Toc197090186 \h </w:instrText>
            </w:r>
            <w:r>
              <w:rPr>
                <w:noProof/>
                <w:webHidden/>
              </w:rPr>
            </w:r>
            <w:r>
              <w:rPr>
                <w:noProof/>
                <w:webHidden/>
              </w:rPr>
              <w:fldChar w:fldCharType="separate"/>
            </w:r>
            <w:r>
              <w:rPr>
                <w:noProof/>
                <w:webHidden/>
              </w:rPr>
              <w:t>24</w:t>
            </w:r>
            <w:r>
              <w:rPr>
                <w:noProof/>
                <w:webHidden/>
              </w:rPr>
              <w:fldChar w:fldCharType="end"/>
            </w:r>
          </w:hyperlink>
        </w:p>
        <w:p w14:paraId="7DB4771B" w14:textId="71AF8AF7" w:rsidR="00631015" w:rsidRDefault="00631015">
          <w:pPr>
            <w:pStyle w:val="TOC2"/>
            <w:tabs>
              <w:tab w:val="right" w:leader="dot" w:pos="9350"/>
            </w:tabs>
            <w:rPr>
              <w:noProof/>
              <w:szCs w:val="24"/>
              <w:lang w:eastAsia="en-US"/>
            </w:rPr>
          </w:pPr>
          <w:hyperlink w:anchor="_Toc197090187" w:history="1">
            <w:r w:rsidRPr="00E9390A">
              <w:rPr>
                <w:rStyle w:val="Hyperlink"/>
                <w:noProof/>
              </w:rPr>
              <w:t>112.04 S25 Update the Paper, “A Re-examination of Faculty Hiring Processes and Procedures”</w:t>
            </w:r>
            <w:r>
              <w:rPr>
                <w:noProof/>
                <w:webHidden/>
              </w:rPr>
              <w:tab/>
            </w:r>
            <w:r>
              <w:rPr>
                <w:noProof/>
                <w:webHidden/>
              </w:rPr>
              <w:fldChar w:fldCharType="begin"/>
            </w:r>
            <w:r>
              <w:rPr>
                <w:noProof/>
                <w:webHidden/>
              </w:rPr>
              <w:instrText xml:space="preserve"> PAGEREF _Toc197090187 \h </w:instrText>
            </w:r>
            <w:r>
              <w:rPr>
                <w:noProof/>
                <w:webHidden/>
              </w:rPr>
            </w:r>
            <w:r>
              <w:rPr>
                <w:noProof/>
                <w:webHidden/>
              </w:rPr>
              <w:fldChar w:fldCharType="separate"/>
            </w:r>
            <w:r>
              <w:rPr>
                <w:noProof/>
                <w:webHidden/>
              </w:rPr>
              <w:t>24</w:t>
            </w:r>
            <w:r>
              <w:rPr>
                <w:noProof/>
                <w:webHidden/>
              </w:rPr>
              <w:fldChar w:fldCharType="end"/>
            </w:r>
          </w:hyperlink>
        </w:p>
        <w:p w14:paraId="0F4A4F1B" w14:textId="7ED2C5B6" w:rsidR="00631015" w:rsidRDefault="00631015">
          <w:pPr>
            <w:pStyle w:val="TOC1"/>
            <w:tabs>
              <w:tab w:val="right" w:leader="dot" w:pos="9350"/>
            </w:tabs>
            <w:rPr>
              <w:noProof/>
              <w:szCs w:val="24"/>
              <w:lang w:eastAsia="en-US"/>
            </w:rPr>
          </w:pPr>
          <w:hyperlink w:anchor="_Toc197090188" w:history="1">
            <w:r w:rsidRPr="00E9390A">
              <w:rPr>
                <w:rStyle w:val="Hyperlink"/>
                <w:noProof/>
              </w:rPr>
              <w:t>113 LEGISLATION AND ADVOCACY</w:t>
            </w:r>
            <w:r>
              <w:rPr>
                <w:noProof/>
                <w:webHidden/>
              </w:rPr>
              <w:tab/>
            </w:r>
            <w:r>
              <w:rPr>
                <w:noProof/>
                <w:webHidden/>
              </w:rPr>
              <w:fldChar w:fldCharType="begin"/>
            </w:r>
            <w:r>
              <w:rPr>
                <w:noProof/>
                <w:webHidden/>
              </w:rPr>
              <w:instrText xml:space="preserve"> PAGEREF _Toc197090188 \h </w:instrText>
            </w:r>
            <w:r>
              <w:rPr>
                <w:noProof/>
                <w:webHidden/>
              </w:rPr>
            </w:r>
            <w:r>
              <w:rPr>
                <w:noProof/>
                <w:webHidden/>
              </w:rPr>
              <w:fldChar w:fldCharType="separate"/>
            </w:r>
            <w:r>
              <w:rPr>
                <w:noProof/>
                <w:webHidden/>
              </w:rPr>
              <w:t>25</w:t>
            </w:r>
            <w:r>
              <w:rPr>
                <w:noProof/>
                <w:webHidden/>
              </w:rPr>
              <w:fldChar w:fldCharType="end"/>
            </w:r>
          </w:hyperlink>
        </w:p>
        <w:p w14:paraId="30C981DF" w14:textId="278DC80B" w:rsidR="00631015" w:rsidRDefault="00631015">
          <w:pPr>
            <w:pStyle w:val="TOC2"/>
            <w:tabs>
              <w:tab w:val="right" w:leader="dot" w:pos="9350"/>
            </w:tabs>
            <w:rPr>
              <w:noProof/>
              <w:szCs w:val="24"/>
              <w:lang w:eastAsia="en-US"/>
            </w:rPr>
          </w:pPr>
          <w:hyperlink w:anchor="_Toc197090189" w:history="1">
            <w:r w:rsidRPr="00E9390A">
              <w:rPr>
                <w:rStyle w:val="Hyperlink"/>
                <w:noProof/>
              </w:rPr>
              <w:t>113.01 S25 Advocating for a 21st Century Ralph M. Brown Open Meetings Act</w:t>
            </w:r>
            <w:r>
              <w:rPr>
                <w:noProof/>
                <w:webHidden/>
              </w:rPr>
              <w:tab/>
            </w:r>
            <w:r>
              <w:rPr>
                <w:noProof/>
                <w:webHidden/>
              </w:rPr>
              <w:fldChar w:fldCharType="begin"/>
            </w:r>
            <w:r>
              <w:rPr>
                <w:noProof/>
                <w:webHidden/>
              </w:rPr>
              <w:instrText xml:space="preserve"> PAGEREF _Toc197090189 \h </w:instrText>
            </w:r>
            <w:r>
              <w:rPr>
                <w:noProof/>
                <w:webHidden/>
              </w:rPr>
            </w:r>
            <w:r>
              <w:rPr>
                <w:noProof/>
                <w:webHidden/>
              </w:rPr>
              <w:fldChar w:fldCharType="separate"/>
            </w:r>
            <w:r>
              <w:rPr>
                <w:noProof/>
                <w:webHidden/>
              </w:rPr>
              <w:t>25</w:t>
            </w:r>
            <w:r>
              <w:rPr>
                <w:noProof/>
                <w:webHidden/>
              </w:rPr>
              <w:fldChar w:fldCharType="end"/>
            </w:r>
          </w:hyperlink>
        </w:p>
        <w:p w14:paraId="3D88114B" w14:textId="557BC52E" w:rsidR="00631015" w:rsidRDefault="00631015">
          <w:pPr>
            <w:pStyle w:val="TOC2"/>
            <w:tabs>
              <w:tab w:val="right" w:leader="dot" w:pos="9350"/>
            </w:tabs>
            <w:rPr>
              <w:noProof/>
              <w:szCs w:val="24"/>
              <w:lang w:eastAsia="en-US"/>
            </w:rPr>
          </w:pPr>
          <w:hyperlink w:anchor="_Toc197090190" w:history="1">
            <w:r w:rsidRPr="00E9390A">
              <w:rPr>
                <w:rStyle w:val="Hyperlink"/>
                <w:noProof/>
              </w:rPr>
              <w:t>113.02 S25 Revising Student Centered Funding Formula Metrics to Better Serve All Students</w:t>
            </w:r>
            <w:r>
              <w:rPr>
                <w:noProof/>
                <w:webHidden/>
              </w:rPr>
              <w:tab/>
            </w:r>
            <w:r>
              <w:rPr>
                <w:noProof/>
                <w:webHidden/>
              </w:rPr>
              <w:fldChar w:fldCharType="begin"/>
            </w:r>
            <w:r>
              <w:rPr>
                <w:noProof/>
                <w:webHidden/>
              </w:rPr>
              <w:instrText xml:space="preserve"> PAGEREF _Toc197090190 \h </w:instrText>
            </w:r>
            <w:r>
              <w:rPr>
                <w:noProof/>
                <w:webHidden/>
              </w:rPr>
            </w:r>
            <w:r>
              <w:rPr>
                <w:noProof/>
                <w:webHidden/>
              </w:rPr>
              <w:fldChar w:fldCharType="separate"/>
            </w:r>
            <w:r>
              <w:rPr>
                <w:noProof/>
                <w:webHidden/>
              </w:rPr>
              <w:t>26</w:t>
            </w:r>
            <w:r>
              <w:rPr>
                <w:noProof/>
                <w:webHidden/>
              </w:rPr>
              <w:fldChar w:fldCharType="end"/>
            </w:r>
          </w:hyperlink>
        </w:p>
        <w:p w14:paraId="280C3673" w14:textId="503EDF06" w:rsidR="00631015" w:rsidRDefault="00631015">
          <w:pPr>
            <w:pStyle w:val="TOC2"/>
            <w:tabs>
              <w:tab w:val="right" w:leader="dot" w:pos="9350"/>
            </w:tabs>
            <w:rPr>
              <w:noProof/>
              <w:szCs w:val="24"/>
              <w:lang w:eastAsia="en-US"/>
            </w:rPr>
          </w:pPr>
          <w:hyperlink w:anchor="_Toc197090191" w:history="1">
            <w:r w:rsidRPr="00E9390A">
              <w:rPr>
                <w:rStyle w:val="Hyperlink"/>
                <w:noProof/>
              </w:rPr>
              <w:t>113.03 S25 Allow Districts to Offer Mathematics and English Courses to Support Upskilling for Student Advancement</w:t>
            </w:r>
            <w:r>
              <w:rPr>
                <w:noProof/>
                <w:webHidden/>
              </w:rPr>
              <w:tab/>
            </w:r>
            <w:r>
              <w:rPr>
                <w:noProof/>
                <w:webHidden/>
              </w:rPr>
              <w:fldChar w:fldCharType="begin"/>
            </w:r>
            <w:r>
              <w:rPr>
                <w:noProof/>
                <w:webHidden/>
              </w:rPr>
              <w:instrText xml:space="preserve"> PAGEREF _Toc197090191 \h </w:instrText>
            </w:r>
            <w:r>
              <w:rPr>
                <w:noProof/>
                <w:webHidden/>
              </w:rPr>
            </w:r>
            <w:r>
              <w:rPr>
                <w:noProof/>
                <w:webHidden/>
              </w:rPr>
              <w:fldChar w:fldCharType="separate"/>
            </w:r>
            <w:r>
              <w:rPr>
                <w:noProof/>
                <w:webHidden/>
              </w:rPr>
              <w:t>27</w:t>
            </w:r>
            <w:r>
              <w:rPr>
                <w:noProof/>
                <w:webHidden/>
              </w:rPr>
              <w:fldChar w:fldCharType="end"/>
            </w:r>
          </w:hyperlink>
        </w:p>
        <w:p w14:paraId="7791A933" w14:textId="2CA848F4" w:rsidR="00631015" w:rsidRDefault="00631015">
          <w:pPr>
            <w:pStyle w:val="TOC2"/>
            <w:tabs>
              <w:tab w:val="right" w:leader="dot" w:pos="9350"/>
            </w:tabs>
            <w:rPr>
              <w:noProof/>
              <w:szCs w:val="24"/>
              <w:lang w:eastAsia="en-US"/>
            </w:rPr>
          </w:pPr>
          <w:hyperlink w:anchor="_Toc197090192" w:history="1">
            <w:r w:rsidRPr="00E9390A">
              <w:rPr>
                <w:rStyle w:val="Hyperlink"/>
                <w:noProof/>
              </w:rPr>
              <w:t>113.04 S25 Support of Assembly Bill 1433 (Sharp-Collins): Education Finance—Funding for Noncredit Instruction as of February 21, 2025</w:t>
            </w:r>
            <w:r>
              <w:rPr>
                <w:noProof/>
                <w:webHidden/>
              </w:rPr>
              <w:tab/>
            </w:r>
            <w:r>
              <w:rPr>
                <w:noProof/>
                <w:webHidden/>
              </w:rPr>
              <w:fldChar w:fldCharType="begin"/>
            </w:r>
            <w:r>
              <w:rPr>
                <w:noProof/>
                <w:webHidden/>
              </w:rPr>
              <w:instrText xml:space="preserve"> PAGEREF _Toc197090192 \h </w:instrText>
            </w:r>
            <w:r>
              <w:rPr>
                <w:noProof/>
                <w:webHidden/>
              </w:rPr>
            </w:r>
            <w:r>
              <w:rPr>
                <w:noProof/>
                <w:webHidden/>
              </w:rPr>
              <w:fldChar w:fldCharType="separate"/>
            </w:r>
            <w:r>
              <w:rPr>
                <w:noProof/>
                <w:webHidden/>
              </w:rPr>
              <w:t>28</w:t>
            </w:r>
            <w:r>
              <w:rPr>
                <w:noProof/>
                <w:webHidden/>
              </w:rPr>
              <w:fldChar w:fldCharType="end"/>
            </w:r>
          </w:hyperlink>
        </w:p>
        <w:p w14:paraId="2A14F80C" w14:textId="45E18618" w:rsidR="00631015" w:rsidRDefault="00631015">
          <w:pPr>
            <w:pStyle w:val="TOC1"/>
            <w:tabs>
              <w:tab w:val="right" w:leader="dot" w:pos="9350"/>
            </w:tabs>
            <w:rPr>
              <w:noProof/>
              <w:szCs w:val="24"/>
              <w:lang w:eastAsia="en-US"/>
            </w:rPr>
          </w:pPr>
          <w:hyperlink w:anchor="_Toc197090193" w:history="1">
            <w:r w:rsidRPr="00E9390A">
              <w:rPr>
                <w:rStyle w:val="Hyperlink"/>
                <w:noProof/>
              </w:rPr>
              <w:t>114 CONSULTATION WITH THE CHANCELLOR’S OFFICE</w:t>
            </w:r>
            <w:r>
              <w:rPr>
                <w:noProof/>
                <w:webHidden/>
              </w:rPr>
              <w:tab/>
            </w:r>
            <w:r>
              <w:rPr>
                <w:noProof/>
                <w:webHidden/>
              </w:rPr>
              <w:fldChar w:fldCharType="begin"/>
            </w:r>
            <w:r>
              <w:rPr>
                <w:noProof/>
                <w:webHidden/>
              </w:rPr>
              <w:instrText xml:space="preserve"> PAGEREF _Toc197090193 \h </w:instrText>
            </w:r>
            <w:r>
              <w:rPr>
                <w:noProof/>
                <w:webHidden/>
              </w:rPr>
            </w:r>
            <w:r>
              <w:rPr>
                <w:noProof/>
                <w:webHidden/>
              </w:rPr>
              <w:fldChar w:fldCharType="separate"/>
            </w:r>
            <w:r>
              <w:rPr>
                <w:noProof/>
                <w:webHidden/>
              </w:rPr>
              <w:t>29</w:t>
            </w:r>
            <w:r>
              <w:rPr>
                <w:noProof/>
                <w:webHidden/>
              </w:rPr>
              <w:fldChar w:fldCharType="end"/>
            </w:r>
          </w:hyperlink>
        </w:p>
        <w:p w14:paraId="017CBB35" w14:textId="3B9DB174" w:rsidR="00631015" w:rsidRDefault="00631015">
          <w:pPr>
            <w:pStyle w:val="TOC2"/>
            <w:tabs>
              <w:tab w:val="right" w:leader="dot" w:pos="9350"/>
            </w:tabs>
            <w:rPr>
              <w:noProof/>
              <w:szCs w:val="24"/>
              <w:lang w:eastAsia="en-US"/>
            </w:rPr>
          </w:pPr>
          <w:hyperlink w:anchor="_Toc197090194" w:history="1">
            <w:r w:rsidRPr="00E9390A">
              <w:rPr>
                <w:rStyle w:val="Hyperlink"/>
                <w:noProof/>
              </w:rPr>
              <w:t>114.01 S25 Empowering Faculty Voice in Rising Scholars Programming</w:t>
            </w:r>
            <w:r>
              <w:rPr>
                <w:noProof/>
                <w:webHidden/>
              </w:rPr>
              <w:tab/>
            </w:r>
            <w:r>
              <w:rPr>
                <w:noProof/>
                <w:webHidden/>
              </w:rPr>
              <w:fldChar w:fldCharType="begin"/>
            </w:r>
            <w:r>
              <w:rPr>
                <w:noProof/>
                <w:webHidden/>
              </w:rPr>
              <w:instrText xml:space="preserve"> PAGEREF _Toc197090194 \h </w:instrText>
            </w:r>
            <w:r>
              <w:rPr>
                <w:noProof/>
                <w:webHidden/>
              </w:rPr>
            </w:r>
            <w:r>
              <w:rPr>
                <w:noProof/>
                <w:webHidden/>
              </w:rPr>
              <w:fldChar w:fldCharType="separate"/>
            </w:r>
            <w:r>
              <w:rPr>
                <w:noProof/>
                <w:webHidden/>
              </w:rPr>
              <w:t>29</w:t>
            </w:r>
            <w:r>
              <w:rPr>
                <w:noProof/>
                <w:webHidden/>
              </w:rPr>
              <w:fldChar w:fldCharType="end"/>
            </w:r>
          </w:hyperlink>
        </w:p>
        <w:p w14:paraId="29268160" w14:textId="71A459E3" w:rsidR="00631015" w:rsidRDefault="00631015">
          <w:pPr>
            <w:pStyle w:val="TOC2"/>
            <w:tabs>
              <w:tab w:val="right" w:leader="dot" w:pos="9350"/>
            </w:tabs>
            <w:rPr>
              <w:noProof/>
              <w:szCs w:val="24"/>
              <w:lang w:eastAsia="en-US"/>
            </w:rPr>
          </w:pPr>
          <w:hyperlink w:anchor="_Toc197090195" w:history="1">
            <w:r w:rsidRPr="00E9390A">
              <w:rPr>
                <w:rStyle w:val="Hyperlink"/>
                <w:noProof/>
                <w:lang w:val="en"/>
              </w:rPr>
              <w:t>114.03 S25 Clarification of Noncredit Alternative Attendance Accounting Procedure for Asynchronous Classes</w:t>
            </w:r>
            <w:r>
              <w:rPr>
                <w:noProof/>
                <w:webHidden/>
              </w:rPr>
              <w:tab/>
            </w:r>
            <w:r>
              <w:rPr>
                <w:noProof/>
                <w:webHidden/>
              </w:rPr>
              <w:fldChar w:fldCharType="begin"/>
            </w:r>
            <w:r>
              <w:rPr>
                <w:noProof/>
                <w:webHidden/>
              </w:rPr>
              <w:instrText xml:space="preserve"> PAGEREF _Toc197090195 \h </w:instrText>
            </w:r>
            <w:r>
              <w:rPr>
                <w:noProof/>
                <w:webHidden/>
              </w:rPr>
            </w:r>
            <w:r>
              <w:rPr>
                <w:noProof/>
                <w:webHidden/>
              </w:rPr>
              <w:fldChar w:fldCharType="separate"/>
            </w:r>
            <w:r>
              <w:rPr>
                <w:noProof/>
                <w:webHidden/>
              </w:rPr>
              <w:t>30</w:t>
            </w:r>
            <w:r>
              <w:rPr>
                <w:noProof/>
                <w:webHidden/>
              </w:rPr>
              <w:fldChar w:fldCharType="end"/>
            </w:r>
          </w:hyperlink>
        </w:p>
        <w:p w14:paraId="453DFE4B" w14:textId="0A2D02BA" w:rsidR="00631015" w:rsidRDefault="00631015">
          <w:pPr>
            <w:pStyle w:val="TOC2"/>
            <w:tabs>
              <w:tab w:val="right" w:leader="dot" w:pos="9350"/>
            </w:tabs>
            <w:rPr>
              <w:noProof/>
              <w:szCs w:val="24"/>
              <w:lang w:eastAsia="en-US"/>
            </w:rPr>
          </w:pPr>
          <w:hyperlink w:anchor="_Toc197090196" w:history="1">
            <w:r w:rsidRPr="00E9390A">
              <w:rPr>
                <w:rStyle w:val="Hyperlink"/>
                <w:noProof/>
              </w:rPr>
              <w:t>114.04 S25 Fraudulent Bot Enrollments in California Community Colleges Courses</w:t>
            </w:r>
            <w:r>
              <w:rPr>
                <w:noProof/>
                <w:webHidden/>
              </w:rPr>
              <w:tab/>
            </w:r>
            <w:r>
              <w:rPr>
                <w:noProof/>
                <w:webHidden/>
              </w:rPr>
              <w:fldChar w:fldCharType="begin"/>
            </w:r>
            <w:r>
              <w:rPr>
                <w:noProof/>
                <w:webHidden/>
              </w:rPr>
              <w:instrText xml:space="preserve"> PAGEREF _Toc197090196 \h </w:instrText>
            </w:r>
            <w:r>
              <w:rPr>
                <w:noProof/>
                <w:webHidden/>
              </w:rPr>
            </w:r>
            <w:r>
              <w:rPr>
                <w:noProof/>
                <w:webHidden/>
              </w:rPr>
              <w:fldChar w:fldCharType="separate"/>
            </w:r>
            <w:r>
              <w:rPr>
                <w:noProof/>
                <w:webHidden/>
              </w:rPr>
              <w:t>31</w:t>
            </w:r>
            <w:r>
              <w:rPr>
                <w:noProof/>
                <w:webHidden/>
              </w:rPr>
              <w:fldChar w:fldCharType="end"/>
            </w:r>
          </w:hyperlink>
        </w:p>
        <w:p w14:paraId="76514DFC" w14:textId="6DF380DC" w:rsidR="00631015" w:rsidRDefault="00631015">
          <w:pPr>
            <w:pStyle w:val="TOC1"/>
            <w:tabs>
              <w:tab w:val="right" w:leader="dot" w:pos="9350"/>
            </w:tabs>
            <w:rPr>
              <w:noProof/>
              <w:szCs w:val="24"/>
              <w:lang w:eastAsia="en-US"/>
            </w:rPr>
          </w:pPr>
          <w:hyperlink w:anchor="_Toc197090197" w:history="1">
            <w:r w:rsidRPr="00E9390A">
              <w:rPr>
                <w:rStyle w:val="Hyperlink"/>
                <w:noProof/>
              </w:rPr>
              <w:t>FAILED RESOLUTIONS AND AMENDMENTS</w:t>
            </w:r>
            <w:r>
              <w:rPr>
                <w:noProof/>
                <w:webHidden/>
              </w:rPr>
              <w:tab/>
            </w:r>
            <w:r>
              <w:rPr>
                <w:noProof/>
                <w:webHidden/>
              </w:rPr>
              <w:fldChar w:fldCharType="begin"/>
            </w:r>
            <w:r>
              <w:rPr>
                <w:noProof/>
                <w:webHidden/>
              </w:rPr>
              <w:instrText xml:space="preserve"> PAGEREF _Toc197090197 \h </w:instrText>
            </w:r>
            <w:r>
              <w:rPr>
                <w:noProof/>
                <w:webHidden/>
              </w:rPr>
            </w:r>
            <w:r>
              <w:rPr>
                <w:noProof/>
                <w:webHidden/>
              </w:rPr>
              <w:fldChar w:fldCharType="separate"/>
            </w:r>
            <w:r>
              <w:rPr>
                <w:noProof/>
                <w:webHidden/>
              </w:rPr>
              <w:t>33</w:t>
            </w:r>
            <w:r>
              <w:rPr>
                <w:noProof/>
                <w:webHidden/>
              </w:rPr>
              <w:fldChar w:fldCharType="end"/>
            </w:r>
          </w:hyperlink>
        </w:p>
        <w:p w14:paraId="2829B0C3" w14:textId="3AD098C4" w:rsidR="00631015" w:rsidRDefault="00631015">
          <w:pPr>
            <w:pStyle w:val="TOC2"/>
            <w:tabs>
              <w:tab w:val="right" w:leader="dot" w:pos="9350"/>
            </w:tabs>
            <w:rPr>
              <w:noProof/>
              <w:szCs w:val="24"/>
              <w:lang w:eastAsia="en-US"/>
            </w:rPr>
          </w:pPr>
          <w:hyperlink w:anchor="_Toc197090198" w:history="1">
            <w:r w:rsidRPr="00E9390A">
              <w:rPr>
                <w:rStyle w:val="Hyperlink"/>
                <w:noProof/>
              </w:rPr>
              <w:t>103.02 S25 Enhancing Student Mobility: Credit for Prior Learning and Transcript Reciprocity Among California Community Colleges</w:t>
            </w:r>
            <w:r>
              <w:rPr>
                <w:noProof/>
                <w:webHidden/>
              </w:rPr>
              <w:tab/>
            </w:r>
            <w:r>
              <w:rPr>
                <w:noProof/>
                <w:webHidden/>
              </w:rPr>
              <w:fldChar w:fldCharType="begin"/>
            </w:r>
            <w:r>
              <w:rPr>
                <w:noProof/>
                <w:webHidden/>
              </w:rPr>
              <w:instrText xml:space="preserve"> PAGEREF _Toc197090198 \h </w:instrText>
            </w:r>
            <w:r>
              <w:rPr>
                <w:noProof/>
                <w:webHidden/>
              </w:rPr>
            </w:r>
            <w:r>
              <w:rPr>
                <w:noProof/>
                <w:webHidden/>
              </w:rPr>
              <w:fldChar w:fldCharType="separate"/>
            </w:r>
            <w:r>
              <w:rPr>
                <w:noProof/>
                <w:webHidden/>
              </w:rPr>
              <w:t>33</w:t>
            </w:r>
            <w:r>
              <w:rPr>
                <w:noProof/>
                <w:webHidden/>
              </w:rPr>
              <w:fldChar w:fldCharType="end"/>
            </w:r>
          </w:hyperlink>
        </w:p>
        <w:p w14:paraId="626EF830" w14:textId="28DDD649" w:rsidR="00631015" w:rsidRDefault="00631015">
          <w:pPr>
            <w:pStyle w:val="TOC2"/>
            <w:tabs>
              <w:tab w:val="right" w:leader="dot" w:pos="9350"/>
            </w:tabs>
            <w:rPr>
              <w:noProof/>
              <w:szCs w:val="24"/>
              <w:lang w:eastAsia="en-US"/>
            </w:rPr>
          </w:pPr>
          <w:hyperlink w:anchor="_Toc197090199" w:history="1">
            <w:r w:rsidRPr="00E9390A">
              <w:rPr>
                <w:rStyle w:val="Hyperlink"/>
                <w:noProof/>
              </w:rPr>
              <w:t>104.01.01 S25 Amend 104.01 S25 Reimagining Transfer Alignment Efforts</w:t>
            </w:r>
            <w:r>
              <w:rPr>
                <w:noProof/>
                <w:webHidden/>
              </w:rPr>
              <w:tab/>
            </w:r>
            <w:r>
              <w:rPr>
                <w:noProof/>
                <w:webHidden/>
              </w:rPr>
              <w:fldChar w:fldCharType="begin"/>
            </w:r>
            <w:r>
              <w:rPr>
                <w:noProof/>
                <w:webHidden/>
              </w:rPr>
              <w:instrText xml:space="preserve"> PAGEREF _Toc197090199 \h </w:instrText>
            </w:r>
            <w:r>
              <w:rPr>
                <w:noProof/>
                <w:webHidden/>
              </w:rPr>
            </w:r>
            <w:r>
              <w:rPr>
                <w:noProof/>
                <w:webHidden/>
              </w:rPr>
              <w:fldChar w:fldCharType="separate"/>
            </w:r>
            <w:r>
              <w:rPr>
                <w:noProof/>
                <w:webHidden/>
              </w:rPr>
              <w:t>34</w:t>
            </w:r>
            <w:r>
              <w:rPr>
                <w:noProof/>
                <w:webHidden/>
              </w:rPr>
              <w:fldChar w:fldCharType="end"/>
            </w:r>
          </w:hyperlink>
        </w:p>
        <w:p w14:paraId="563430FD" w14:textId="0BCA07F8" w:rsidR="00631015" w:rsidRDefault="00631015">
          <w:pPr>
            <w:pStyle w:val="TOC2"/>
            <w:tabs>
              <w:tab w:val="right" w:leader="dot" w:pos="9350"/>
            </w:tabs>
            <w:rPr>
              <w:noProof/>
              <w:szCs w:val="24"/>
              <w:lang w:eastAsia="en-US"/>
            </w:rPr>
          </w:pPr>
          <w:hyperlink w:anchor="_Toc197090200" w:history="1">
            <w:r w:rsidRPr="00E9390A">
              <w:rPr>
                <w:rStyle w:val="Hyperlink"/>
                <w:noProof/>
              </w:rPr>
              <w:t>114.02 S25 Advocating for Systemwide Access to AI Tools and Training</w:t>
            </w:r>
            <w:r>
              <w:rPr>
                <w:noProof/>
                <w:webHidden/>
              </w:rPr>
              <w:tab/>
            </w:r>
            <w:r>
              <w:rPr>
                <w:noProof/>
                <w:webHidden/>
              </w:rPr>
              <w:fldChar w:fldCharType="begin"/>
            </w:r>
            <w:r>
              <w:rPr>
                <w:noProof/>
                <w:webHidden/>
              </w:rPr>
              <w:instrText xml:space="preserve"> PAGEREF _Toc197090200 \h </w:instrText>
            </w:r>
            <w:r>
              <w:rPr>
                <w:noProof/>
                <w:webHidden/>
              </w:rPr>
            </w:r>
            <w:r>
              <w:rPr>
                <w:noProof/>
                <w:webHidden/>
              </w:rPr>
              <w:fldChar w:fldCharType="separate"/>
            </w:r>
            <w:r>
              <w:rPr>
                <w:noProof/>
                <w:webHidden/>
              </w:rPr>
              <w:t>34</w:t>
            </w:r>
            <w:r>
              <w:rPr>
                <w:noProof/>
                <w:webHidden/>
              </w:rPr>
              <w:fldChar w:fldCharType="end"/>
            </w:r>
          </w:hyperlink>
        </w:p>
        <w:p w14:paraId="2B4834CD" w14:textId="546DD2F1" w:rsidR="00631015" w:rsidRDefault="00631015">
          <w:pPr>
            <w:pStyle w:val="TOC1"/>
            <w:tabs>
              <w:tab w:val="right" w:leader="dot" w:pos="9350"/>
            </w:tabs>
            <w:rPr>
              <w:noProof/>
              <w:szCs w:val="24"/>
              <w:lang w:eastAsia="en-US"/>
            </w:rPr>
          </w:pPr>
          <w:hyperlink w:anchor="_Toc197090201" w:history="1">
            <w:r w:rsidRPr="00E9390A">
              <w:rPr>
                <w:rStyle w:val="Hyperlink"/>
                <w:noProof/>
              </w:rPr>
              <w:t>REFERRED RESOLUTIONS AND AMENDMENTS</w:t>
            </w:r>
            <w:r>
              <w:rPr>
                <w:noProof/>
                <w:webHidden/>
              </w:rPr>
              <w:tab/>
            </w:r>
            <w:r>
              <w:rPr>
                <w:noProof/>
                <w:webHidden/>
              </w:rPr>
              <w:fldChar w:fldCharType="begin"/>
            </w:r>
            <w:r>
              <w:rPr>
                <w:noProof/>
                <w:webHidden/>
              </w:rPr>
              <w:instrText xml:space="preserve"> PAGEREF _Toc197090201 \h </w:instrText>
            </w:r>
            <w:r>
              <w:rPr>
                <w:noProof/>
                <w:webHidden/>
              </w:rPr>
            </w:r>
            <w:r>
              <w:rPr>
                <w:noProof/>
                <w:webHidden/>
              </w:rPr>
              <w:fldChar w:fldCharType="separate"/>
            </w:r>
            <w:r>
              <w:rPr>
                <w:noProof/>
                <w:webHidden/>
              </w:rPr>
              <w:t>35</w:t>
            </w:r>
            <w:r>
              <w:rPr>
                <w:noProof/>
                <w:webHidden/>
              </w:rPr>
              <w:fldChar w:fldCharType="end"/>
            </w:r>
          </w:hyperlink>
        </w:p>
        <w:p w14:paraId="0C1E5C9D" w14:textId="6BCEBBE6" w:rsidR="00631015" w:rsidRDefault="00631015">
          <w:pPr>
            <w:pStyle w:val="TOC2"/>
            <w:tabs>
              <w:tab w:val="right" w:leader="dot" w:pos="9350"/>
            </w:tabs>
            <w:rPr>
              <w:noProof/>
              <w:szCs w:val="24"/>
              <w:lang w:eastAsia="en-US"/>
            </w:rPr>
          </w:pPr>
          <w:hyperlink w:anchor="_Toc197090202" w:history="1">
            <w:r w:rsidRPr="00E9390A">
              <w:rPr>
                <w:rStyle w:val="Hyperlink"/>
                <w:noProof/>
              </w:rPr>
              <w:t>103.03 S25 Ensuring Access and Equity: Removing Residency Barriers for Credit for Prior Learning (CPL)</w:t>
            </w:r>
            <w:r>
              <w:rPr>
                <w:noProof/>
                <w:webHidden/>
              </w:rPr>
              <w:tab/>
            </w:r>
            <w:r>
              <w:rPr>
                <w:noProof/>
                <w:webHidden/>
              </w:rPr>
              <w:fldChar w:fldCharType="begin"/>
            </w:r>
            <w:r>
              <w:rPr>
                <w:noProof/>
                <w:webHidden/>
              </w:rPr>
              <w:instrText xml:space="preserve"> PAGEREF _Toc197090202 \h </w:instrText>
            </w:r>
            <w:r>
              <w:rPr>
                <w:noProof/>
                <w:webHidden/>
              </w:rPr>
            </w:r>
            <w:r>
              <w:rPr>
                <w:noProof/>
                <w:webHidden/>
              </w:rPr>
              <w:fldChar w:fldCharType="separate"/>
            </w:r>
            <w:r>
              <w:rPr>
                <w:noProof/>
                <w:webHidden/>
              </w:rPr>
              <w:t>35</w:t>
            </w:r>
            <w:r>
              <w:rPr>
                <w:noProof/>
                <w:webHidden/>
              </w:rPr>
              <w:fldChar w:fldCharType="end"/>
            </w:r>
          </w:hyperlink>
        </w:p>
        <w:p w14:paraId="03D3B919" w14:textId="01F211AC" w:rsidR="00631015" w:rsidRDefault="00631015">
          <w:pPr>
            <w:pStyle w:val="TOC1"/>
            <w:tabs>
              <w:tab w:val="right" w:leader="dot" w:pos="9350"/>
            </w:tabs>
            <w:rPr>
              <w:noProof/>
              <w:szCs w:val="24"/>
              <w:lang w:eastAsia="en-US"/>
            </w:rPr>
          </w:pPr>
          <w:hyperlink w:anchor="_Toc197090203" w:history="1">
            <w:r w:rsidRPr="00E9390A">
              <w:rPr>
                <w:rStyle w:val="Hyperlink"/>
                <w:noProof/>
              </w:rPr>
              <w:t>DELEGATES</w:t>
            </w:r>
            <w:r>
              <w:rPr>
                <w:noProof/>
                <w:webHidden/>
              </w:rPr>
              <w:tab/>
            </w:r>
            <w:r>
              <w:rPr>
                <w:noProof/>
                <w:webHidden/>
              </w:rPr>
              <w:fldChar w:fldCharType="begin"/>
            </w:r>
            <w:r>
              <w:rPr>
                <w:noProof/>
                <w:webHidden/>
              </w:rPr>
              <w:instrText xml:space="preserve"> PAGEREF _Toc197090203 \h </w:instrText>
            </w:r>
            <w:r>
              <w:rPr>
                <w:noProof/>
                <w:webHidden/>
              </w:rPr>
            </w:r>
            <w:r>
              <w:rPr>
                <w:noProof/>
                <w:webHidden/>
              </w:rPr>
              <w:fldChar w:fldCharType="separate"/>
            </w:r>
            <w:r>
              <w:rPr>
                <w:noProof/>
                <w:webHidden/>
              </w:rPr>
              <w:t>37</w:t>
            </w:r>
            <w:r>
              <w:rPr>
                <w:noProof/>
                <w:webHidden/>
              </w:rPr>
              <w:fldChar w:fldCharType="end"/>
            </w:r>
          </w:hyperlink>
        </w:p>
        <w:p w14:paraId="2EBF3877" w14:textId="6C70A130" w:rsidR="004C3EFC" w:rsidRDefault="004C3EFC">
          <w:r>
            <w:rPr>
              <w:b/>
              <w:bCs/>
              <w:noProof/>
            </w:rPr>
            <w:fldChar w:fldCharType="end"/>
          </w:r>
        </w:p>
      </w:sdtContent>
    </w:sdt>
    <w:p w14:paraId="514EED59" w14:textId="77777777" w:rsidR="00E36460" w:rsidRDefault="00E36460" w:rsidP="00E36460">
      <w:pPr>
        <w:pStyle w:val="Heading1"/>
        <w:jc w:val="center"/>
        <w:rPr>
          <w:b w:val="0"/>
          <w:bCs/>
        </w:rPr>
      </w:pPr>
      <w:bookmarkStart w:id="1" w:name="_Toc115935474"/>
      <w:bookmarkStart w:id="2" w:name="_Toc152013008"/>
      <w:bookmarkStart w:id="3" w:name="_Toc115935475"/>
      <w:bookmarkStart w:id="4" w:name="_Toc197090156"/>
      <w:r>
        <w:rPr>
          <w:b w:val="0"/>
          <w:bCs/>
        </w:rPr>
        <w:lastRenderedPageBreak/>
        <w:t xml:space="preserve">RECORDING </w:t>
      </w:r>
      <w:r w:rsidRPr="004C3EFC">
        <w:rPr>
          <w:b w:val="0"/>
          <w:bCs/>
        </w:rPr>
        <w:t xml:space="preserve">RESOLUTIONS </w:t>
      </w:r>
      <w:bookmarkEnd w:id="1"/>
      <w:r>
        <w:rPr>
          <w:b w:val="0"/>
          <w:bCs/>
        </w:rPr>
        <w:t>VOTING</w:t>
      </w:r>
      <w:bookmarkEnd w:id="2"/>
      <w:bookmarkEnd w:id="4"/>
    </w:p>
    <w:p w14:paraId="5BF46245" w14:textId="77777777" w:rsidR="00E36460" w:rsidRDefault="00E36460" w:rsidP="00E36460">
      <w:pPr>
        <w:ind w:left="120" w:right="-14"/>
        <w:rPr>
          <w:rFonts w:eastAsia="Times New Roman" w:cstheme="minorHAnsi"/>
          <w:szCs w:val="24"/>
        </w:rPr>
      </w:pPr>
      <w:r>
        <w:rPr>
          <w:rFonts w:eastAsia="Times New Roman" w:cstheme="minorHAnsi"/>
          <w:szCs w:val="24"/>
        </w:rPr>
        <w:t xml:space="preserve">Final results of voting on resolutions are recorded using the following, based on the </w:t>
      </w:r>
      <w:hyperlink r:id="rId9" w:history="1">
        <w:r w:rsidRPr="005E6652">
          <w:rPr>
            <w:rStyle w:val="Hyperlink"/>
            <w:rFonts w:eastAsia="Times New Roman" w:cstheme="minorHAnsi"/>
            <w:i/>
            <w:iCs/>
            <w:szCs w:val="24"/>
          </w:rPr>
          <w:t>Resolutions Handbook</w:t>
        </w:r>
      </w:hyperlink>
      <w:r>
        <w:rPr>
          <w:rFonts w:eastAsia="Times New Roman" w:cstheme="minorHAnsi"/>
          <w:szCs w:val="24"/>
        </w:rPr>
        <w:t xml:space="preserve"> (page 12):</w:t>
      </w:r>
    </w:p>
    <w:p w14:paraId="496AE355" w14:textId="77777777" w:rsidR="00E36460" w:rsidRPr="00482C67" w:rsidRDefault="00E36460" w:rsidP="00E36460">
      <w:pPr>
        <w:numPr>
          <w:ilvl w:val="0"/>
          <w:numId w:val="3"/>
        </w:numPr>
        <w:spacing w:after="0" w:line="240" w:lineRule="auto"/>
        <w:ind w:left="630" w:right="-14" w:hanging="180"/>
        <w:textAlignment w:val="baseline"/>
        <w:rPr>
          <w:rFonts w:eastAsia="Times New Roman" w:cstheme="minorHAnsi"/>
          <w:szCs w:val="24"/>
        </w:rPr>
      </w:pPr>
      <w:r w:rsidRPr="00482C67">
        <w:rPr>
          <w:rFonts w:eastAsia="Times New Roman" w:cstheme="minorHAnsi"/>
          <w:szCs w:val="24"/>
        </w:rPr>
        <w:t>MSC: Moved, Seconded, Carried</w:t>
      </w:r>
    </w:p>
    <w:p w14:paraId="24A00DCB" w14:textId="77777777" w:rsidR="00E36460" w:rsidRPr="00482C67" w:rsidRDefault="00E36460" w:rsidP="00E36460">
      <w:pPr>
        <w:numPr>
          <w:ilvl w:val="0"/>
          <w:numId w:val="3"/>
        </w:numPr>
        <w:spacing w:after="0" w:line="240" w:lineRule="auto"/>
        <w:ind w:left="630" w:right="-14" w:hanging="180"/>
        <w:textAlignment w:val="baseline"/>
        <w:rPr>
          <w:rFonts w:eastAsia="Times New Roman" w:cstheme="minorHAnsi"/>
          <w:szCs w:val="24"/>
        </w:rPr>
      </w:pPr>
      <w:r w:rsidRPr="00482C67">
        <w:rPr>
          <w:rFonts w:eastAsia="Times New Roman" w:cstheme="minorHAnsi"/>
          <w:szCs w:val="24"/>
        </w:rPr>
        <w:t>MSF: Moved, Seconded, Failed</w:t>
      </w:r>
    </w:p>
    <w:p w14:paraId="2B3DFD63" w14:textId="6A5BF6BE" w:rsidR="00E36460" w:rsidRDefault="00E36460" w:rsidP="00E36460">
      <w:pPr>
        <w:numPr>
          <w:ilvl w:val="0"/>
          <w:numId w:val="3"/>
        </w:numPr>
        <w:spacing w:after="0" w:line="240" w:lineRule="auto"/>
        <w:ind w:left="630" w:right="-14" w:hanging="180"/>
        <w:textAlignment w:val="baseline"/>
        <w:rPr>
          <w:rFonts w:eastAsia="Times New Roman" w:cstheme="minorHAnsi"/>
          <w:szCs w:val="24"/>
        </w:rPr>
      </w:pPr>
      <w:r w:rsidRPr="00482C67">
        <w:rPr>
          <w:rFonts w:eastAsia="Times New Roman" w:cstheme="minorHAnsi"/>
          <w:szCs w:val="24"/>
        </w:rPr>
        <w:t>MSR: Moved, Seconded</w:t>
      </w:r>
      <w:r w:rsidR="00F93EC6">
        <w:rPr>
          <w:rFonts w:eastAsia="Times New Roman" w:cstheme="minorHAnsi"/>
          <w:szCs w:val="24"/>
        </w:rPr>
        <w:t>,</w:t>
      </w:r>
      <w:r w:rsidRPr="00482C67">
        <w:rPr>
          <w:rFonts w:eastAsia="Times New Roman" w:cstheme="minorHAnsi"/>
          <w:szCs w:val="24"/>
        </w:rPr>
        <w:t xml:space="preserve"> Referred</w:t>
      </w:r>
    </w:p>
    <w:p w14:paraId="042E943D" w14:textId="77777777" w:rsidR="00E36460" w:rsidRPr="00482C67" w:rsidRDefault="00E36460" w:rsidP="00E36460">
      <w:pPr>
        <w:numPr>
          <w:ilvl w:val="0"/>
          <w:numId w:val="3"/>
        </w:numPr>
        <w:spacing w:after="0" w:line="240" w:lineRule="auto"/>
        <w:ind w:left="630" w:right="-14" w:hanging="180"/>
        <w:textAlignment w:val="baseline"/>
        <w:rPr>
          <w:rFonts w:eastAsia="Times New Roman" w:cstheme="minorHAnsi"/>
          <w:szCs w:val="24"/>
        </w:rPr>
      </w:pPr>
      <w:r w:rsidRPr="00482C67">
        <w:rPr>
          <w:rFonts w:eastAsia="Times New Roman" w:cstheme="minorHAnsi"/>
          <w:szCs w:val="24"/>
        </w:rPr>
        <w:t>MSU: Moved, Seconded, Unanimous</w:t>
      </w:r>
      <w:r>
        <w:rPr>
          <w:rFonts w:eastAsia="Times New Roman" w:cstheme="minorHAnsi"/>
          <w:szCs w:val="24"/>
        </w:rPr>
        <w:t xml:space="preserve"> (including consent calendar &amp; unanimous consent)</w:t>
      </w:r>
    </w:p>
    <w:p w14:paraId="09F99066" w14:textId="77777777" w:rsidR="00E36460" w:rsidRPr="008807EC" w:rsidRDefault="00E36460" w:rsidP="00E36460">
      <w:pPr>
        <w:numPr>
          <w:ilvl w:val="0"/>
          <w:numId w:val="3"/>
        </w:numPr>
        <w:spacing w:after="0" w:line="240" w:lineRule="auto"/>
        <w:ind w:left="630" w:right="-14" w:hanging="180"/>
        <w:textAlignment w:val="baseline"/>
        <w:rPr>
          <w:rFonts w:eastAsia="Times New Roman" w:cstheme="minorHAnsi"/>
          <w:szCs w:val="24"/>
        </w:rPr>
      </w:pPr>
      <w:r>
        <w:rPr>
          <w:rFonts w:eastAsia="Times New Roman" w:cstheme="minorHAnsi"/>
          <w:szCs w:val="24"/>
        </w:rPr>
        <w:t>Acclamation: Moved, Seconded, Acclamation</w:t>
      </w:r>
    </w:p>
    <w:bookmarkEnd w:id="3"/>
    <w:p w14:paraId="38BBBCBB" w14:textId="77777777" w:rsidR="00D6066E" w:rsidRDefault="00D6066E" w:rsidP="006D1A05">
      <w:pPr>
        <w:spacing w:after="0"/>
        <w:rPr>
          <w:rFonts w:eastAsia="Times New Roman" w:cstheme="minorHAnsi"/>
        </w:rPr>
      </w:pPr>
    </w:p>
    <w:p w14:paraId="18EA2D89" w14:textId="77777777" w:rsidR="00AE1508" w:rsidRPr="00FF23C8" w:rsidRDefault="00AE1508" w:rsidP="00FF23C8">
      <w:pPr>
        <w:pStyle w:val="Heading1"/>
        <w:jc w:val="center"/>
        <w:rPr>
          <w:b w:val="0"/>
          <w:bCs/>
        </w:rPr>
      </w:pPr>
      <w:bookmarkStart w:id="5" w:name="_Toc193947378"/>
      <w:bookmarkStart w:id="6" w:name="_Toc193890579"/>
      <w:bookmarkStart w:id="7" w:name="_Toc195691347"/>
      <w:bookmarkStart w:id="8" w:name="_Toc196496751"/>
      <w:bookmarkStart w:id="9" w:name="_Toc196500305"/>
      <w:bookmarkStart w:id="10" w:name="_Toc197090157"/>
      <w:r w:rsidRPr="00FF23C8">
        <w:rPr>
          <w:b w:val="0"/>
          <w:bCs/>
        </w:rPr>
        <w:t>RESOLUTIONS CATEGORIES</w:t>
      </w:r>
      <w:bookmarkEnd w:id="5"/>
      <w:bookmarkEnd w:id="6"/>
      <w:bookmarkEnd w:id="7"/>
      <w:bookmarkEnd w:id="8"/>
      <w:bookmarkEnd w:id="9"/>
      <w:bookmarkEnd w:id="10"/>
    </w:p>
    <w:p w14:paraId="4DF0DF7E" w14:textId="77777777" w:rsidR="00AE1508" w:rsidRPr="00AE1508" w:rsidRDefault="00AE1508" w:rsidP="00AE1508"/>
    <w:p w14:paraId="6AE19A2A" w14:textId="6E4A6AF2" w:rsidR="00AE1508" w:rsidRDefault="00AE1508" w:rsidP="00AE1508">
      <w:r>
        <w:t>New resolutions categories that more closely align with the purview of the ASCCC were piloted for the 2024 Spring Plenary Session and approved for post-pilot use by the ASCCC Executive Committee at its May 2024 meeting. Numbering of these new categories begin</w:t>
      </w:r>
      <w:r w:rsidR="00102984">
        <w:t>s</w:t>
      </w:r>
      <w:r>
        <w:t xml:space="preserve"> from 101 for the first category, 102 for the second category, and so forth to distinguish them from the old categories. The approved new categories are</w:t>
      </w:r>
      <w:r w:rsidR="00102984">
        <w:t xml:space="preserve"> as follows</w:t>
      </w:r>
      <w:r>
        <w:t>:</w:t>
      </w:r>
    </w:p>
    <w:p w14:paraId="6BE41C57" w14:textId="77777777" w:rsidR="00AE1508" w:rsidRPr="007054E2" w:rsidRDefault="00AE1508" w:rsidP="00AE1508">
      <w:pPr>
        <w:numPr>
          <w:ilvl w:val="0"/>
          <w:numId w:val="12"/>
        </w:numPr>
        <w:spacing w:after="0"/>
        <w:ind w:left="1170"/>
      </w:pPr>
      <w:r w:rsidRPr="007054E2">
        <w:t xml:space="preserve">Curriculum </w:t>
      </w:r>
    </w:p>
    <w:p w14:paraId="292022C7" w14:textId="77777777" w:rsidR="00AE1508" w:rsidRPr="007054E2" w:rsidRDefault="00AE1508" w:rsidP="00AE1508">
      <w:pPr>
        <w:numPr>
          <w:ilvl w:val="0"/>
          <w:numId w:val="12"/>
        </w:numPr>
        <w:spacing w:after="0"/>
        <w:ind w:left="1170"/>
      </w:pPr>
      <w:r w:rsidRPr="007054E2">
        <w:t>Degree and Certificate Requirements</w:t>
      </w:r>
    </w:p>
    <w:p w14:paraId="50E2F8CB" w14:textId="77777777" w:rsidR="00AE1508" w:rsidRPr="007054E2" w:rsidRDefault="00AE1508" w:rsidP="00AE1508">
      <w:pPr>
        <w:numPr>
          <w:ilvl w:val="0"/>
          <w:numId w:val="12"/>
        </w:numPr>
        <w:spacing w:after="0"/>
        <w:ind w:left="1170"/>
      </w:pPr>
      <w:r w:rsidRPr="007054E2">
        <w:t>Grading Policies</w:t>
      </w:r>
    </w:p>
    <w:p w14:paraId="2E6F6F0B" w14:textId="77777777" w:rsidR="00AE1508" w:rsidRPr="007054E2" w:rsidRDefault="00AE1508" w:rsidP="00AE1508">
      <w:pPr>
        <w:numPr>
          <w:ilvl w:val="0"/>
          <w:numId w:val="12"/>
        </w:numPr>
        <w:spacing w:after="0"/>
        <w:ind w:left="1170"/>
      </w:pPr>
      <w:r w:rsidRPr="007054E2">
        <w:t>Educational Program Development</w:t>
      </w:r>
    </w:p>
    <w:p w14:paraId="0403D709" w14:textId="77777777" w:rsidR="00AE1508" w:rsidRPr="007054E2" w:rsidRDefault="00AE1508" w:rsidP="00AE1508">
      <w:pPr>
        <w:numPr>
          <w:ilvl w:val="0"/>
          <w:numId w:val="12"/>
        </w:numPr>
        <w:spacing w:after="0"/>
        <w:ind w:left="1170"/>
      </w:pPr>
      <w:r w:rsidRPr="007054E2">
        <w:t>Student Preparation and Success</w:t>
      </w:r>
    </w:p>
    <w:p w14:paraId="225D262D" w14:textId="77777777" w:rsidR="00AE1508" w:rsidRPr="007054E2" w:rsidRDefault="00AE1508" w:rsidP="00AE1508">
      <w:pPr>
        <w:numPr>
          <w:ilvl w:val="0"/>
          <w:numId w:val="12"/>
        </w:numPr>
        <w:spacing w:after="0"/>
        <w:ind w:left="1170"/>
      </w:pPr>
      <w:r w:rsidRPr="007054E2">
        <w:t>Governance Structures</w:t>
      </w:r>
    </w:p>
    <w:p w14:paraId="6A8E3EC6" w14:textId="77777777" w:rsidR="00AE1508" w:rsidRPr="007054E2" w:rsidRDefault="00AE1508" w:rsidP="00AE1508">
      <w:pPr>
        <w:numPr>
          <w:ilvl w:val="0"/>
          <w:numId w:val="12"/>
        </w:numPr>
        <w:spacing w:after="0"/>
        <w:ind w:left="1170"/>
      </w:pPr>
      <w:r w:rsidRPr="007054E2">
        <w:t>Accreditation</w:t>
      </w:r>
    </w:p>
    <w:p w14:paraId="6E0B1522" w14:textId="77777777" w:rsidR="00AE1508" w:rsidRPr="007054E2" w:rsidRDefault="00AE1508" w:rsidP="00AE1508">
      <w:pPr>
        <w:numPr>
          <w:ilvl w:val="0"/>
          <w:numId w:val="12"/>
        </w:numPr>
        <w:spacing w:after="0"/>
        <w:ind w:left="1170"/>
      </w:pPr>
      <w:r w:rsidRPr="007054E2">
        <w:t>Professional Development</w:t>
      </w:r>
    </w:p>
    <w:p w14:paraId="3A36A613" w14:textId="77777777" w:rsidR="00AE1508" w:rsidRPr="007054E2" w:rsidRDefault="00AE1508" w:rsidP="00AE1508">
      <w:pPr>
        <w:numPr>
          <w:ilvl w:val="0"/>
          <w:numId w:val="12"/>
        </w:numPr>
        <w:spacing w:after="0"/>
        <w:ind w:left="1170"/>
      </w:pPr>
      <w:r w:rsidRPr="007054E2">
        <w:t>Program Review</w:t>
      </w:r>
    </w:p>
    <w:p w14:paraId="5D8DEFF5" w14:textId="77777777" w:rsidR="00AE1508" w:rsidRPr="007054E2" w:rsidRDefault="00AE1508" w:rsidP="00AE1508">
      <w:pPr>
        <w:numPr>
          <w:ilvl w:val="0"/>
          <w:numId w:val="12"/>
        </w:numPr>
        <w:spacing w:after="0"/>
        <w:ind w:left="1170"/>
      </w:pPr>
      <w:r w:rsidRPr="007054E2">
        <w:t>Institutional Planning and Budget Development</w:t>
      </w:r>
    </w:p>
    <w:p w14:paraId="293B67AA" w14:textId="77777777" w:rsidR="00AE1508" w:rsidRPr="007054E2" w:rsidRDefault="00AE1508" w:rsidP="00AE1508">
      <w:pPr>
        <w:numPr>
          <w:ilvl w:val="0"/>
          <w:numId w:val="12"/>
        </w:numPr>
        <w:spacing w:after="0"/>
        <w:ind w:left="1170"/>
      </w:pPr>
      <w:r w:rsidRPr="007054E2">
        <w:t>Academic Senate for California Community Colleges</w:t>
      </w:r>
    </w:p>
    <w:p w14:paraId="6704C08B" w14:textId="77777777" w:rsidR="00AE1508" w:rsidRPr="007054E2" w:rsidRDefault="00AE1508" w:rsidP="00AE1508">
      <w:pPr>
        <w:numPr>
          <w:ilvl w:val="0"/>
          <w:numId w:val="12"/>
        </w:numPr>
        <w:spacing w:after="0"/>
        <w:ind w:left="1170"/>
      </w:pPr>
      <w:r w:rsidRPr="007054E2">
        <w:t>Hiring, Minimum Qualifications, Equivalency, and Evaluations</w:t>
      </w:r>
    </w:p>
    <w:p w14:paraId="3C5B81E4" w14:textId="77777777" w:rsidR="00AE1508" w:rsidRPr="007054E2" w:rsidRDefault="00AE1508" w:rsidP="00AE1508">
      <w:pPr>
        <w:numPr>
          <w:ilvl w:val="0"/>
          <w:numId w:val="12"/>
        </w:numPr>
        <w:spacing w:after="0"/>
        <w:ind w:left="1170"/>
      </w:pPr>
      <w:r w:rsidRPr="007054E2">
        <w:t>Legislation and Advocacy</w:t>
      </w:r>
    </w:p>
    <w:p w14:paraId="7B0CAE4A" w14:textId="7FDCC524" w:rsidR="007119FA" w:rsidRDefault="00AE1508" w:rsidP="00650488">
      <w:pPr>
        <w:tabs>
          <w:tab w:val="left" w:pos="1620"/>
        </w:tabs>
        <w:ind w:left="1620" w:hanging="900"/>
        <w:rPr>
          <w:rFonts w:asciiTheme="majorHAnsi" w:hAnsiTheme="majorHAnsi" w:cstheme="majorHAnsi"/>
          <w:sz w:val="40"/>
          <w:szCs w:val="40"/>
        </w:rPr>
      </w:pPr>
      <w:r>
        <w:t xml:space="preserve">  114.   </w:t>
      </w:r>
      <w:r w:rsidRPr="007054E2">
        <w:t>Consultation with the Chancellor’s Office</w:t>
      </w:r>
    </w:p>
    <w:p w14:paraId="7C1DA893" w14:textId="77777777" w:rsidR="007F31A2" w:rsidRDefault="007F31A2" w:rsidP="00E30D4D">
      <w:pPr>
        <w:pStyle w:val="Heading1"/>
        <w:jc w:val="center"/>
        <w:sectPr w:rsidR="007F31A2" w:rsidSect="002064CE">
          <w:footerReference w:type="default" r:id="rId10"/>
          <w:pgSz w:w="12240" w:h="15840"/>
          <w:pgMar w:top="1440" w:right="1440" w:bottom="1440" w:left="1440" w:header="720" w:footer="720" w:gutter="0"/>
          <w:cols w:space="720"/>
          <w:titlePg/>
          <w:docGrid w:linePitch="360"/>
        </w:sectPr>
      </w:pPr>
      <w:bookmarkStart w:id="11" w:name="_Toc152013009"/>
    </w:p>
    <w:p w14:paraId="09DBE36A" w14:textId="33F9C2CB" w:rsidR="00AF40E4" w:rsidRDefault="00E30D4D" w:rsidP="00A560A2">
      <w:pPr>
        <w:pStyle w:val="Heading1"/>
        <w:jc w:val="center"/>
      </w:pPr>
      <w:bookmarkStart w:id="12" w:name="_Toc197090158"/>
      <w:r>
        <w:lastRenderedPageBreak/>
        <w:t>ADOPTED RESOLUTIONS</w:t>
      </w:r>
      <w:bookmarkEnd w:id="11"/>
      <w:bookmarkEnd w:id="12"/>
    </w:p>
    <w:p w14:paraId="104C3953" w14:textId="18D91BBF" w:rsidR="00AF40E4" w:rsidRPr="00AF40E4" w:rsidRDefault="001A6DEA" w:rsidP="007F31A2">
      <w:pPr>
        <w:pStyle w:val="Heading1"/>
      </w:pPr>
      <w:bookmarkStart w:id="13" w:name="_Toc162362525"/>
      <w:bookmarkStart w:id="14" w:name="_Toc197090159"/>
      <w:r w:rsidRPr="001A6DEA">
        <w:t>101 C</w:t>
      </w:r>
      <w:bookmarkEnd w:id="13"/>
      <w:r w:rsidR="00173A8C">
        <w:t>URRICULUM</w:t>
      </w:r>
      <w:bookmarkEnd w:id="14"/>
    </w:p>
    <w:p w14:paraId="32600630" w14:textId="7E198486" w:rsidR="00A30635" w:rsidRPr="00A30635" w:rsidRDefault="00F14CBE" w:rsidP="007F31A2">
      <w:pPr>
        <w:pStyle w:val="Heading2"/>
      </w:pPr>
      <w:bookmarkStart w:id="15" w:name="_Toc193947380"/>
      <w:bookmarkStart w:id="16" w:name="_Toc193890581"/>
      <w:bookmarkStart w:id="17" w:name="_Toc195691349"/>
      <w:bookmarkStart w:id="18" w:name="_Toc196496754"/>
      <w:bookmarkStart w:id="19" w:name="_Toc196500308"/>
      <w:bookmarkStart w:id="20" w:name="_Toc197090160"/>
      <w:r w:rsidRPr="00F14CBE">
        <w:t>101.01 S25 Addressing Barriers to Articulation</w:t>
      </w:r>
      <w:bookmarkEnd w:id="15"/>
      <w:bookmarkEnd w:id="16"/>
      <w:bookmarkEnd w:id="17"/>
      <w:bookmarkEnd w:id="18"/>
      <w:bookmarkEnd w:id="19"/>
      <w:bookmarkEnd w:id="20"/>
      <w:r w:rsidRPr="00F14CBE">
        <w:t xml:space="preserve"> </w:t>
      </w:r>
    </w:p>
    <w:p w14:paraId="3F2DCA4B" w14:textId="3097EAB0" w:rsidR="00F14CBE" w:rsidRPr="001137B6" w:rsidRDefault="00F14CBE" w:rsidP="00F14CBE">
      <w:r w:rsidRPr="002909E9">
        <w:t>Whereas</w:t>
      </w:r>
      <w:r w:rsidRPr="001137B6">
        <w:t>, The California Community Colleges (CCC) system serves as the largest public higher education system in the nation, providing vital transfer pathways to the California State University (CSU)</w:t>
      </w:r>
      <w:r>
        <w:t xml:space="preserve">, </w:t>
      </w:r>
      <w:r w:rsidR="003C18EA">
        <w:t xml:space="preserve">the </w:t>
      </w:r>
      <w:r w:rsidRPr="001137B6">
        <w:t xml:space="preserve">University of California (UC) </w:t>
      </w:r>
      <w:r w:rsidRPr="001F7F3F">
        <w:t>system</w:t>
      </w:r>
      <w:r>
        <w:t>,</w:t>
      </w:r>
      <w:r w:rsidRPr="001F7F3F">
        <w:t xml:space="preserve"> and independent colleges and universities,</w:t>
      </w:r>
      <w:r w:rsidRPr="001137B6">
        <w:t xml:space="preserve"> yet students continue to experience challenges with articulation of courses, leading to duplication of coursework and barriers to timely degree completion</w:t>
      </w:r>
      <w:r>
        <w:rPr>
          <w:rStyle w:val="FootnoteReference"/>
        </w:rPr>
        <w:footnoteReference w:id="1"/>
      </w:r>
      <w:r w:rsidRPr="001137B6">
        <w:t>;</w:t>
      </w:r>
    </w:p>
    <w:p w14:paraId="5AB6884B" w14:textId="5B0FCE08" w:rsidR="00F14CBE" w:rsidRPr="001137B6" w:rsidRDefault="00F14CBE" w:rsidP="00F14CBE">
      <w:r w:rsidRPr="002909E9">
        <w:t>Whereas</w:t>
      </w:r>
      <w:r w:rsidRPr="001137B6">
        <w:t xml:space="preserve">, The Course Identification Numbering System (C-ID) has played a significant role in facilitating articulation and transfer by providing a common framework for course comparability across </w:t>
      </w:r>
      <w:r w:rsidR="003C18EA" w:rsidRPr="001137B6">
        <w:t xml:space="preserve">California </w:t>
      </w:r>
      <w:r w:rsidR="003C18EA">
        <w:t>c</w:t>
      </w:r>
      <w:r w:rsidR="003C18EA" w:rsidRPr="001137B6">
        <w:t xml:space="preserve">ommunity </w:t>
      </w:r>
      <w:r w:rsidR="003C18EA">
        <w:t>c</w:t>
      </w:r>
      <w:r w:rsidR="003C18EA" w:rsidRPr="001137B6">
        <w:t>olleges</w:t>
      </w:r>
      <w:r w:rsidRPr="001137B6">
        <w:t xml:space="preserve">, but gaps remain in the articulation of courses outside of the </w:t>
      </w:r>
      <w:r w:rsidR="003C18EA">
        <w:t xml:space="preserve">transfer model curriculum and </w:t>
      </w:r>
      <w:r w:rsidR="003C18EA" w:rsidRPr="001137B6">
        <w:t>associate degree for transfer</w:t>
      </w:r>
      <w:r w:rsidRPr="001137B6">
        <w:t>;</w:t>
      </w:r>
    </w:p>
    <w:p w14:paraId="2797986A" w14:textId="085FF242" w:rsidR="00F14CBE" w:rsidRPr="001137B6" w:rsidRDefault="00F14CBE" w:rsidP="00F14CBE">
      <w:r>
        <w:t>Whereas, AB 1111 (Berman, 2021)</w:t>
      </w:r>
      <w:r w:rsidR="00F6632F">
        <w:rPr>
          <w:rStyle w:val="FootnoteReference"/>
        </w:rPr>
        <w:footnoteReference w:id="2"/>
      </w:r>
      <w:r>
        <w:t xml:space="preserve"> mandates common course numbering across the CCC system, which has the potential to improve transfer and articulation but does not resolve the systemic issues with inconsistent articulation policies between CCC, CSU, and UC, nor does it address disparities in how courses are evaluated for equivalency; and</w:t>
      </w:r>
    </w:p>
    <w:p w14:paraId="7DBED4F3" w14:textId="0710E2AA" w:rsidR="00F14CBE" w:rsidRPr="001137B6" w:rsidRDefault="00F14CBE" w:rsidP="00F14CBE">
      <w:r w:rsidRPr="002909E9">
        <w:t>Whereas</w:t>
      </w:r>
      <w:r w:rsidRPr="001137B6">
        <w:t>, The existing articulation process relies on faculty-driven review and articulation agreements through ASSIST, yet discrepancies between CCC, CSU, and UC articulation practices, coupled with lengthy approval timelines, create significant challenges for students seeking seamless transfer pathways</w:t>
      </w:r>
      <w:r>
        <w:rPr>
          <w:rStyle w:val="FootnoteReference"/>
        </w:rPr>
        <w:footnoteReference w:id="3"/>
      </w:r>
      <w:r w:rsidRPr="001137B6">
        <w:t>;</w:t>
      </w:r>
    </w:p>
    <w:p w14:paraId="1CFC6232" w14:textId="6B53BB4D" w:rsidR="00F14CBE" w:rsidRDefault="00F14CBE" w:rsidP="00F14CBE">
      <w:r>
        <w:t xml:space="preserve">Resolved, That the Academic Senate for California Community Colleges work with the Intersegmental Committee of the Academic Senates, </w:t>
      </w:r>
      <w:r w:rsidR="003C18EA">
        <w:t>a</w:t>
      </w:r>
      <w:r>
        <w:t xml:space="preserve">rticulation </w:t>
      </w:r>
      <w:r w:rsidR="003C18EA">
        <w:t>o</w:t>
      </w:r>
      <w:r>
        <w:t>fficers, and system offices including the California Community Colleges Chancellor’s Office, California State University Chancellor’s Office, and University of California Office of the President to reimagine articulation processes, ensuring that efforts such as the Course Identification Numbering System (C-ID) and common course numbering effectively support streamlined transfer pathways; and</w:t>
      </w:r>
    </w:p>
    <w:p w14:paraId="194FCBA4" w14:textId="358E18A5" w:rsidR="00F14CBE" w:rsidRDefault="00F14CBE" w:rsidP="00F14CBE">
      <w:r>
        <w:t xml:space="preserve">Resolved, That the Academic Senate for Community Colleges work with the Intersegmental Committee of the Academic Senates, </w:t>
      </w:r>
      <w:r w:rsidR="003C18EA">
        <w:t>a</w:t>
      </w:r>
      <w:r>
        <w:t xml:space="preserve">rticulation </w:t>
      </w:r>
      <w:r w:rsidR="003C18EA">
        <w:t>o</w:t>
      </w:r>
      <w:r>
        <w:t xml:space="preserve">fficers, and system offices including the California Community Colleges Chancellor’s Office, California State University Chancellor’s Office, and University of California Office of the President to advocate for improved </w:t>
      </w:r>
      <w:r>
        <w:lastRenderedPageBreak/>
        <w:t>transparency, consistency, and timeliness in articulation decisions and identify systemwide policies and processes to ensure articulation agreements are consistent across institutions.</w:t>
      </w:r>
    </w:p>
    <w:p w14:paraId="25442440" w14:textId="77777777" w:rsidR="00F14CBE" w:rsidRDefault="00F14CBE" w:rsidP="00F14CBE">
      <w:r>
        <w:t>Contact: ASCCC Executive Committee</w:t>
      </w:r>
    </w:p>
    <w:p w14:paraId="004B16C5" w14:textId="00AE834A" w:rsidR="008E12EA" w:rsidRPr="00C643D1" w:rsidRDefault="008E12EA" w:rsidP="00C643D1">
      <w:r>
        <w:t>MSU</w:t>
      </w:r>
    </w:p>
    <w:p w14:paraId="4727D3CD" w14:textId="1CDDECD5" w:rsidR="009708F2" w:rsidRPr="009708F2" w:rsidRDefault="009708F2" w:rsidP="007F31A2">
      <w:pPr>
        <w:pStyle w:val="Heading2"/>
      </w:pPr>
      <w:bookmarkStart w:id="21" w:name="_Toc193947381"/>
      <w:bookmarkStart w:id="22" w:name="_Toc193890582"/>
      <w:bookmarkStart w:id="23" w:name="_Toc195691350"/>
      <w:bookmarkStart w:id="24" w:name="_Toc196496755"/>
      <w:bookmarkStart w:id="25" w:name="_Toc196500309"/>
      <w:bookmarkStart w:id="26" w:name="_Toc197090161"/>
      <w:r>
        <w:t xml:space="preserve">101.02 </w:t>
      </w:r>
      <w:r w:rsidRPr="00F26AE6">
        <w:t>Cal-GETC Approval of California Community Colleges Ethnic Studies Courses</w:t>
      </w:r>
      <w:bookmarkEnd w:id="21"/>
      <w:bookmarkEnd w:id="22"/>
      <w:bookmarkEnd w:id="23"/>
      <w:bookmarkEnd w:id="24"/>
      <w:bookmarkEnd w:id="25"/>
      <w:bookmarkEnd w:id="26"/>
    </w:p>
    <w:p w14:paraId="0EDF15C0" w14:textId="70B19376" w:rsidR="009708F2" w:rsidRPr="00F26AE6" w:rsidRDefault="009708F2" w:rsidP="009708F2">
      <w:pPr>
        <w:rPr>
          <w:rFonts w:cstheme="minorHAnsi"/>
        </w:rPr>
      </w:pPr>
      <w:r w:rsidRPr="00F26AE6">
        <w:rPr>
          <w:rFonts w:cstheme="minorHAnsi"/>
        </w:rPr>
        <w:t xml:space="preserve">Whereas, Effective fall 2021, students </w:t>
      </w:r>
      <w:r w:rsidR="00102984">
        <w:rPr>
          <w:rFonts w:cstheme="minorHAnsi"/>
        </w:rPr>
        <w:t>are</w:t>
      </w:r>
      <w:r w:rsidRPr="00F26AE6">
        <w:rPr>
          <w:rFonts w:cstheme="minorHAnsi"/>
        </w:rPr>
        <w:t xml:space="preserve"> required to complete an ethnic studies course as part of </w:t>
      </w:r>
      <w:r w:rsidR="00102984">
        <w:rPr>
          <w:rFonts w:cstheme="minorHAnsi"/>
        </w:rPr>
        <w:t>the</w:t>
      </w:r>
      <w:r w:rsidR="00102984" w:rsidRPr="00F26AE6">
        <w:rPr>
          <w:rFonts w:cstheme="minorHAnsi"/>
        </w:rPr>
        <w:t xml:space="preserve"> </w:t>
      </w:r>
      <w:r w:rsidRPr="00F26AE6">
        <w:rPr>
          <w:rFonts w:cstheme="minorHAnsi"/>
        </w:rPr>
        <w:t>intersegmental general education transfer pattern California State University General Education Breadth (CSU GE) Area F Ethnic Studies and</w:t>
      </w:r>
      <w:r w:rsidR="00102984">
        <w:rPr>
          <w:rFonts w:cstheme="minorHAnsi"/>
        </w:rPr>
        <w:t xml:space="preserve">, </w:t>
      </w:r>
      <w:r w:rsidR="00102984" w:rsidRPr="00F26AE6">
        <w:rPr>
          <w:rFonts w:cstheme="minorHAnsi"/>
        </w:rPr>
        <w:t>effective fall 2023</w:t>
      </w:r>
      <w:r w:rsidR="00102984">
        <w:rPr>
          <w:rFonts w:cstheme="minorHAnsi"/>
        </w:rPr>
        <w:t>,</w:t>
      </w:r>
      <w:r w:rsidRPr="00F26AE6">
        <w:rPr>
          <w:rFonts w:cstheme="minorHAnsi"/>
        </w:rPr>
        <w:t xml:space="preserve"> Intersegmental General Education Transfer Curriculum (IGETC) Area 7 Ethnic Studies, with both </w:t>
      </w:r>
      <w:r w:rsidR="00102984">
        <w:rPr>
          <w:rFonts w:cstheme="minorHAnsi"/>
        </w:rPr>
        <w:t xml:space="preserve">being </w:t>
      </w:r>
      <w:r w:rsidRPr="00F26AE6">
        <w:rPr>
          <w:rFonts w:cstheme="minorHAnsi"/>
        </w:rPr>
        <w:t>replaced by California General Education Transfer Curriculum (Cal-GETC) Area 6 Ethnic Studies effective fall 2025;</w:t>
      </w:r>
    </w:p>
    <w:p w14:paraId="1F521223" w14:textId="6772FB51" w:rsidR="009708F2" w:rsidRPr="00F26AE6" w:rsidRDefault="009708F2" w:rsidP="009708F2">
      <w:pPr>
        <w:rPr>
          <w:rFonts w:cstheme="minorHAnsi"/>
        </w:rPr>
      </w:pPr>
      <w:r w:rsidRPr="00F26AE6">
        <w:rPr>
          <w:rFonts w:cstheme="minorHAnsi"/>
        </w:rPr>
        <w:t xml:space="preserve">Whereas, </w:t>
      </w:r>
      <w:r w:rsidR="00102984" w:rsidRPr="00F26AE6">
        <w:t xml:space="preserve">California </w:t>
      </w:r>
      <w:r w:rsidR="00102984">
        <w:t>c</w:t>
      </w:r>
      <w:r w:rsidR="00102984" w:rsidRPr="00F26AE6">
        <w:t xml:space="preserve">ommunity </w:t>
      </w:r>
      <w:r w:rsidR="00102984">
        <w:t>c</w:t>
      </w:r>
      <w:r w:rsidR="00102984" w:rsidRPr="00F26AE6">
        <w:t>ollege</w:t>
      </w:r>
      <w:r w:rsidRPr="00F26AE6">
        <w:rPr>
          <w:rFonts w:cstheme="minorHAnsi"/>
        </w:rPr>
        <w:t xml:space="preserve"> faculty have developed ethnic studies courses approved by their local curriculum committees only to be denied transfer CSU GE Area F/IGETC Area 7 approval and, </w:t>
      </w:r>
      <w:r>
        <w:t xml:space="preserve">even after addressing concerns from reviewers, were subsequently </w:t>
      </w:r>
      <w:r w:rsidR="00102984">
        <w:t xml:space="preserve">again </w:t>
      </w:r>
      <w:r>
        <w:t>denied</w:t>
      </w:r>
      <w:r>
        <w:rPr>
          <w:rStyle w:val="FootnoteReference"/>
        </w:rPr>
        <w:footnoteReference w:id="4"/>
      </w:r>
      <w:r w:rsidRPr="00F26AE6">
        <w:rPr>
          <w:rFonts w:cstheme="minorHAnsi"/>
        </w:rPr>
        <w:t xml:space="preserve">; </w:t>
      </w:r>
    </w:p>
    <w:p w14:paraId="2A8E82B6" w14:textId="201E3AAA" w:rsidR="009708F2" w:rsidRPr="00F26AE6" w:rsidRDefault="009708F2" w:rsidP="009708F2">
      <w:pPr>
        <w:rPr>
          <w:rFonts w:cstheme="minorHAnsi"/>
        </w:rPr>
      </w:pPr>
      <w:r w:rsidRPr="00F26AE6">
        <w:rPr>
          <w:rFonts w:cstheme="minorHAnsi"/>
        </w:rPr>
        <w:t>Whereas, Articulated California community college ethnic studies courses are being held to a higher standard for review and approval for the transfer general education ethnic studies requirement than articulated California State University and University of California ethnic studies courses</w:t>
      </w:r>
      <w:r>
        <w:rPr>
          <w:rStyle w:val="FootnoteReference"/>
        </w:rPr>
        <w:footnoteReference w:id="5"/>
      </w:r>
      <w:r>
        <w:t xml:space="preserve">; </w:t>
      </w:r>
      <w:r>
        <w:rPr>
          <w:rFonts w:cstheme="minorHAnsi"/>
        </w:rPr>
        <w:t>and</w:t>
      </w:r>
    </w:p>
    <w:p w14:paraId="38394A39" w14:textId="59BABB42" w:rsidR="009708F2" w:rsidRPr="00F26AE6" w:rsidRDefault="009708F2" w:rsidP="009708F2">
      <w:pPr>
        <w:rPr>
          <w:rFonts w:cstheme="minorHAnsi"/>
        </w:rPr>
      </w:pPr>
      <w:r w:rsidRPr="00F26AE6">
        <w:rPr>
          <w:rFonts w:cstheme="minorHAnsi"/>
        </w:rPr>
        <w:t xml:space="preserve">Whereas, CSU students often take </w:t>
      </w:r>
      <w:r w:rsidR="00102984" w:rsidRPr="00F26AE6">
        <w:t xml:space="preserve">California </w:t>
      </w:r>
      <w:r w:rsidR="00102984">
        <w:t>c</w:t>
      </w:r>
      <w:r w:rsidR="00102984" w:rsidRPr="00F26AE6">
        <w:t xml:space="preserve">ommunity </w:t>
      </w:r>
      <w:r w:rsidR="00102984">
        <w:t>c</w:t>
      </w:r>
      <w:r w:rsidR="00102984" w:rsidRPr="00F26AE6">
        <w:t>ollege</w:t>
      </w:r>
      <w:r w:rsidRPr="00F26AE6">
        <w:rPr>
          <w:rFonts w:cstheme="minorHAnsi"/>
        </w:rPr>
        <w:t xml:space="preserve"> ethnic studies courses that are accepted and approved for their CSU campus ethnic studies general education requirements</w:t>
      </w:r>
      <w:r>
        <w:t xml:space="preserve">, </w:t>
      </w:r>
      <w:r w:rsidR="00102984">
        <w:t>but</w:t>
      </w:r>
      <w:r w:rsidRPr="00F26AE6">
        <w:rPr>
          <w:rFonts w:cstheme="minorHAnsi"/>
        </w:rPr>
        <w:t xml:space="preserve"> these same ethnic studies courses </w:t>
      </w:r>
      <w:r w:rsidR="00102984">
        <w:rPr>
          <w:rFonts w:cstheme="minorHAnsi"/>
        </w:rPr>
        <w:t>are</w:t>
      </w:r>
      <w:r w:rsidR="00102984" w:rsidRPr="00F26AE6">
        <w:rPr>
          <w:rFonts w:cstheme="minorHAnsi"/>
        </w:rPr>
        <w:t xml:space="preserve"> </w:t>
      </w:r>
      <w:r w:rsidRPr="00F26AE6">
        <w:rPr>
          <w:rFonts w:cstheme="minorHAnsi"/>
        </w:rPr>
        <w:t>not approved for CSU GE Area F</w:t>
      </w:r>
      <w:r>
        <w:t xml:space="preserve">, </w:t>
      </w:r>
      <w:r w:rsidR="00102984">
        <w:t xml:space="preserve">and </w:t>
      </w:r>
      <w:r>
        <w:t xml:space="preserve">therefore </w:t>
      </w:r>
      <w:r w:rsidR="00102984" w:rsidRPr="00F26AE6">
        <w:t xml:space="preserve">California </w:t>
      </w:r>
      <w:r w:rsidR="00102984">
        <w:t>c</w:t>
      </w:r>
      <w:r w:rsidR="00102984" w:rsidRPr="00F26AE6">
        <w:t xml:space="preserve">ommunity </w:t>
      </w:r>
      <w:r w:rsidR="00102984">
        <w:t>c</w:t>
      </w:r>
      <w:r w:rsidR="00102984" w:rsidRPr="00F26AE6">
        <w:t>ollege</w:t>
      </w:r>
      <w:r w:rsidRPr="00F26AE6">
        <w:rPr>
          <w:rFonts w:cstheme="minorHAnsi"/>
        </w:rPr>
        <w:t xml:space="preserve"> students take the same</w:t>
      </w:r>
      <w:r w:rsidR="00102984">
        <w:rPr>
          <w:rFonts w:cstheme="minorHAnsi"/>
        </w:rPr>
        <w:t xml:space="preserve"> </w:t>
      </w:r>
      <w:r w:rsidRPr="00F26AE6">
        <w:rPr>
          <w:rFonts w:cstheme="minorHAnsi"/>
        </w:rPr>
        <w:t xml:space="preserve">ethnic studies courses that count for the CSU students’ ethnic studies requirement but </w:t>
      </w:r>
      <w:r w:rsidR="00102984">
        <w:rPr>
          <w:rFonts w:cstheme="minorHAnsi"/>
        </w:rPr>
        <w:t xml:space="preserve">the courses </w:t>
      </w:r>
      <w:r w:rsidRPr="00F26AE6">
        <w:rPr>
          <w:rFonts w:cstheme="minorHAnsi"/>
        </w:rPr>
        <w:t>do</w:t>
      </w:r>
      <w:r w:rsidR="00102984">
        <w:rPr>
          <w:rFonts w:cstheme="minorHAnsi"/>
        </w:rPr>
        <w:t xml:space="preserve"> no</w:t>
      </w:r>
      <w:r w:rsidRPr="00F26AE6">
        <w:rPr>
          <w:rFonts w:cstheme="minorHAnsi"/>
        </w:rPr>
        <w:t xml:space="preserve">t count for the </w:t>
      </w:r>
      <w:r w:rsidR="00102984">
        <w:t>c</w:t>
      </w:r>
      <w:r w:rsidR="00102984" w:rsidRPr="00F26AE6">
        <w:t xml:space="preserve">ommunity </w:t>
      </w:r>
      <w:r w:rsidR="00102984">
        <w:t>c</w:t>
      </w:r>
      <w:r w:rsidR="00102984" w:rsidRPr="00F26AE6">
        <w:t>ollege</w:t>
      </w:r>
      <w:r w:rsidRPr="00F26AE6">
        <w:rPr>
          <w:rFonts w:cstheme="minorHAnsi"/>
        </w:rPr>
        <w:t xml:space="preserve"> students for the transfer general education ethnic studies requirement</w:t>
      </w:r>
      <w:r>
        <w:rPr>
          <w:rStyle w:val="FootnoteReference"/>
        </w:rPr>
        <w:footnoteReference w:id="6"/>
      </w:r>
      <w:r>
        <w:rPr>
          <w:rFonts w:cstheme="minorHAnsi"/>
        </w:rPr>
        <w:t>;</w:t>
      </w:r>
    </w:p>
    <w:p w14:paraId="08E138D6" w14:textId="2BC73426" w:rsidR="009708F2" w:rsidRPr="00F26AE6" w:rsidRDefault="009708F2" w:rsidP="009708F2">
      <w:pPr>
        <w:rPr>
          <w:rFonts w:cstheme="minorHAnsi"/>
        </w:rPr>
      </w:pPr>
      <w:r w:rsidRPr="00F26AE6">
        <w:rPr>
          <w:rFonts w:cstheme="minorHAnsi"/>
        </w:rPr>
        <w:lastRenderedPageBreak/>
        <w:t xml:space="preserve">Resolved, That </w:t>
      </w:r>
      <w:r w:rsidR="00102984">
        <w:rPr>
          <w:rFonts w:cstheme="minorHAnsi"/>
        </w:rPr>
        <w:t xml:space="preserve">the </w:t>
      </w:r>
      <w:r w:rsidRPr="00F26AE6">
        <w:rPr>
          <w:rFonts w:cstheme="minorHAnsi"/>
        </w:rPr>
        <w:t xml:space="preserve">Academic Senate for California Community Colleges work with </w:t>
      </w:r>
      <w:r>
        <w:t xml:space="preserve">the </w:t>
      </w:r>
      <w:r w:rsidRPr="002465E9">
        <w:t>I</w:t>
      </w:r>
      <w:r>
        <w:t xml:space="preserve">ntersegmental Committee of </w:t>
      </w:r>
      <w:r w:rsidR="00102984">
        <w:t xml:space="preserve">the </w:t>
      </w:r>
      <w:r>
        <w:t>Academic Senates</w:t>
      </w:r>
      <w:r w:rsidRPr="00F26AE6">
        <w:rPr>
          <w:rFonts w:cstheme="minorHAnsi"/>
        </w:rPr>
        <w:t xml:space="preserve"> to develop and implement a policy, effective Fall 2026, that any California </w:t>
      </w:r>
      <w:r>
        <w:t>c</w:t>
      </w:r>
      <w:r w:rsidRPr="002465E9">
        <w:t xml:space="preserve">ommunity </w:t>
      </w:r>
      <w:r>
        <w:t>c</w:t>
      </w:r>
      <w:r w:rsidRPr="00F26AE6">
        <w:rPr>
          <w:rFonts w:cstheme="minorHAnsi"/>
        </w:rPr>
        <w:t>ollege ethnic studies course that is articulated to any California State University</w:t>
      </w:r>
      <w:r w:rsidR="00102984">
        <w:rPr>
          <w:rFonts w:cstheme="minorHAnsi"/>
        </w:rPr>
        <w:t xml:space="preserve"> </w:t>
      </w:r>
      <w:r w:rsidRPr="00F26AE6">
        <w:rPr>
          <w:rFonts w:cstheme="minorHAnsi"/>
        </w:rPr>
        <w:t>or University of California course approved for ethnic studies general education or graduation requirements be automatically approved for Cal-GETC Area 6.</w:t>
      </w:r>
    </w:p>
    <w:p w14:paraId="14038FEC" w14:textId="4450F777" w:rsidR="00B75CAF" w:rsidRPr="009708F2" w:rsidRDefault="009708F2" w:rsidP="00B75CAF">
      <w:pPr>
        <w:rPr>
          <w:rFonts w:cstheme="minorHAnsi"/>
        </w:rPr>
      </w:pPr>
      <w:r w:rsidRPr="00F26AE6">
        <w:rPr>
          <w:rFonts w:cstheme="minorHAnsi"/>
        </w:rPr>
        <w:t xml:space="preserve">Contact: David </w:t>
      </w:r>
      <w:proofErr w:type="spellStart"/>
      <w:r w:rsidRPr="00F26AE6">
        <w:rPr>
          <w:rFonts w:cstheme="minorHAnsi"/>
        </w:rPr>
        <w:t>Degroot</w:t>
      </w:r>
      <w:proofErr w:type="spellEnd"/>
      <w:r w:rsidRPr="00F26AE6">
        <w:rPr>
          <w:rFonts w:cstheme="minorHAnsi"/>
        </w:rPr>
        <w:t>, Allan Hancock College, Area C</w:t>
      </w:r>
    </w:p>
    <w:p w14:paraId="2421614B" w14:textId="15B0AC88" w:rsidR="004761F2" w:rsidRPr="007F31A2" w:rsidRDefault="000404C4" w:rsidP="004761F2">
      <w:r>
        <w:t>MS</w:t>
      </w:r>
      <w:r w:rsidR="000F787F">
        <w:t>C</w:t>
      </w:r>
      <w:bookmarkStart w:id="27" w:name="_Toc162362540"/>
    </w:p>
    <w:p w14:paraId="4BADF1F6" w14:textId="313B9D62" w:rsidR="00C4417D" w:rsidRPr="00E9360C" w:rsidRDefault="00C4417D" w:rsidP="00C4417D">
      <w:pPr>
        <w:pStyle w:val="Heading2"/>
        <w:rPr>
          <w:rFonts w:eastAsiaTheme="minorHAnsi"/>
        </w:rPr>
      </w:pPr>
      <w:bookmarkStart w:id="28" w:name="_Toc193947382"/>
      <w:bookmarkStart w:id="29" w:name="_Toc193890583"/>
      <w:bookmarkStart w:id="30" w:name="_Toc195691351"/>
      <w:bookmarkStart w:id="31" w:name="_Toc196496756"/>
      <w:bookmarkStart w:id="32" w:name="_Toc196500310"/>
      <w:bookmarkStart w:id="33" w:name="_Toc197090162"/>
      <w:bookmarkEnd w:id="27"/>
      <w:r>
        <w:t xml:space="preserve">101.03 S25 </w:t>
      </w:r>
      <w:r w:rsidRPr="00E9360C">
        <w:t>Honoring Approved IGETC Lists for Cal-GETC</w:t>
      </w:r>
      <w:bookmarkEnd w:id="28"/>
      <w:bookmarkEnd w:id="29"/>
      <w:bookmarkEnd w:id="30"/>
      <w:bookmarkEnd w:id="31"/>
      <w:bookmarkEnd w:id="32"/>
      <w:bookmarkEnd w:id="33"/>
    </w:p>
    <w:p w14:paraId="6B283EF5" w14:textId="39E4D3D2" w:rsidR="00C4417D" w:rsidRPr="00E771A3" w:rsidRDefault="00C4417D" w:rsidP="00C4417D">
      <w:pPr>
        <w:spacing w:before="240" w:after="240"/>
        <w:rPr>
          <w:rFonts w:cstheme="minorHAnsi"/>
        </w:rPr>
      </w:pPr>
      <w:r w:rsidRPr="00E771A3">
        <w:rPr>
          <w:rFonts w:eastAsia="Aptos" w:cstheme="minorHAnsi"/>
        </w:rPr>
        <w:t xml:space="preserve">Whereas, The </w:t>
      </w:r>
      <w:r w:rsidRPr="007F0E3A">
        <w:rPr>
          <w:rStyle w:val="Hyperlink"/>
          <w:rFonts w:eastAsia="Aptos" w:cstheme="minorHAnsi"/>
          <w:color w:val="auto"/>
          <w:u w:val="none"/>
        </w:rPr>
        <w:t>California General Education Transfer Curriculum (Cal-GETC) Implementation Guidance Memo dated February 14 2024</w:t>
      </w:r>
      <w:r w:rsidRPr="007F0E3A">
        <w:rPr>
          <w:rStyle w:val="FootnoteReference"/>
          <w:rFonts w:eastAsia="Aptos" w:cstheme="minorHAnsi"/>
          <w:color w:val="7B7B7B" w:themeColor="accent3" w:themeShade="BF"/>
        </w:rPr>
        <w:footnoteReference w:id="7"/>
      </w:r>
      <w:r w:rsidRPr="00E771A3">
        <w:rPr>
          <w:rFonts w:eastAsia="Aptos" w:cstheme="minorHAnsi"/>
        </w:rPr>
        <w:t xml:space="preserve"> specifies that only </w:t>
      </w:r>
      <w:r w:rsidR="0033108E">
        <w:rPr>
          <w:rFonts w:eastAsia="Aptos" w:cstheme="minorHAnsi"/>
        </w:rPr>
        <w:t>“</w:t>
      </w:r>
      <w:r w:rsidRPr="00E771A3">
        <w:rPr>
          <w:rFonts w:eastAsia="Aptos" w:cstheme="minorHAnsi"/>
        </w:rPr>
        <w:t xml:space="preserve">courses approved for an IGETC area in ASSIST.org as of August 1, 2024, with the exception of Area 1C, will migrate to the corresponding Cal-GETC area by </w:t>
      </w:r>
      <w:r w:rsidRPr="007F0E3A">
        <w:rPr>
          <w:rStyle w:val="Hyperlink"/>
          <w:rFonts w:eastAsia="Aptos" w:cstheme="minorHAnsi"/>
          <w:color w:val="auto"/>
          <w:u w:val="none"/>
        </w:rPr>
        <w:t>ASSIST.org</w:t>
      </w:r>
      <w:r w:rsidR="0033108E">
        <w:rPr>
          <w:rStyle w:val="Hyperlink"/>
          <w:rFonts w:eastAsia="Aptos" w:cstheme="minorHAnsi"/>
          <w:color w:val="auto"/>
          <w:u w:val="none"/>
        </w:rPr>
        <w:t>,”</w:t>
      </w:r>
      <w:r w:rsidRPr="00E771A3">
        <w:rPr>
          <w:rFonts w:eastAsia="Aptos" w:cstheme="minorHAnsi"/>
        </w:rPr>
        <w:t xml:space="preserve"> and</w:t>
      </w:r>
      <w:r w:rsidR="0033108E">
        <w:rPr>
          <w:rFonts w:eastAsia="Aptos" w:cstheme="minorHAnsi"/>
        </w:rPr>
        <w:t xml:space="preserve"> the</w:t>
      </w:r>
      <w:r w:rsidRPr="00E771A3">
        <w:rPr>
          <w:rFonts w:eastAsia="Aptos" w:cstheme="minorHAnsi"/>
        </w:rPr>
        <w:t xml:space="preserve"> Intersegmental General Education Transfer Curriculum (IGETC) provides a structured pathway for California community college students to fulfill lower-division general education requirements before transferring to the University of California (UC) or California State University (CSU) systems;</w:t>
      </w:r>
    </w:p>
    <w:p w14:paraId="02043FFC" w14:textId="5F359F41" w:rsidR="00C4417D" w:rsidRPr="00E771A3" w:rsidRDefault="00C4417D" w:rsidP="00C4417D">
      <w:pPr>
        <w:spacing w:before="240" w:after="240"/>
        <w:rPr>
          <w:rFonts w:cstheme="minorHAnsi"/>
        </w:rPr>
      </w:pPr>
      <w:r w:rsidRPr="00E771A3">
        <w:rPr>
          <w:rFonts w:eastAsia="Aptos" w:cstheme="minorHAnsi"/>
        </w:rPr>
        <w:t xml:space="preserve">Whereas, </w:t>
      </w:r>
      <w:bookmarkStart w:id="34" w:name="_Hlk192599748"/>
      <w:r w:rsidRPr="00E771A3">
        <w:rPr>
          <w:rFonts w:eastAsia="Aptos" w:cstheme="minorHAnsi"/>
        </w:rPr>
        <w:t>Cal-GETC</w:t>
      </w:r>
      <w:bookmarkEnd w:id="34"/>
      <w:r w:rsidRPr="00E771A3">
        <w:rPr>
          <w:rFonts w:eastAsia="Aptos" w:cstheme="minorHAnsi"/>
        </w:rPr>
        <w:t xml:space="preserve"> has been developed to standardize the transfer process and ensure that coursework taken at a </w:t>
      </w:r>
      <w:r>
        <w:rPr>
          <w:rFonts w:eastAsia="Aptos" w:cstheme="minorHAnsi"/>
        </w:rPr>
        <w:t xml:space="preserve">California </w:t>
      </w:r>
      <w:r w:rsidRPr="00E771A3">
        <w:rPr>
          <w:rFonts w:eastAsia="Aptos" w:cstheme="minorHAnsi"/>
        </w:rPr>
        <w:t xml:space="preserve">community college aligns with general education requirements across </w:t>
      </w:r>
      <w:r>
        <w:rPr>
          <w:rFonts w:eastAsia="Aptos" w:cstheme="minorHAnsi"/>
        </w:rPr>
        <w:t>California</w:t>
      </w:r>
      <w:r w:rsidRPr="00E771A3">
        <w:rPr>
          <w:rFonts w:eastAsia="Aptos" w:cstheme="minorHAnsi"/>
        </w:rPr>
        <w:t xml:space="preserve"> public institutions;</w:t>
      </w:r>
    </w:p>
    <w:p w14:paraId="78174723" w14:textId="41732E21" w:rsidR="00C4417D" w:rsidRPr="00E771A3" w:rsidRDefault="00C4417D" w:rsidP="00C4417D">
      <w:pPr>
        <w:spacing w:before="240" w:after="240"/>
        <w:rPr>
          <w:rFonts w:cstheme="minorHAnsi"/>
        </w:rPr>
      </w:pPr>
      <w:r w:rsidRPr="00E771A3">
        <w:rPr>
          <w:rFonts w:eastAsia="Aptos" w:cstheme="minorHAnsi"/>
        </w:rPr>
        <w:t>Whereas, Students rely on accurate and consistent articulation agreements to make informed decisions about their academic coursework and transfer eligibility</w:t>
      </w:r>
      <w:r w:rsidR="0033108E">
        <w:rPr>
          <w:rFonts w:eastAsia="Aptos" w:cstheme="minorHAnsi"/>
        </w:rPr>
        <w:t>,</w:t>
      </w:r>
      <w:r>
        <w:rPr>
          <w:rFonts w:eastAsia="Aptos" w:cstheme="minorHAnsi"/>
        </w:rPr>
        <w:t xml:space="preserve"> a</w:t>
      </w:r>
      <w:r w:rsidRPr="00E771A3">
        <w:rPr>
          <w:rFonts w:eastAsia="Aptos" w:cstheme="minorHAnsi"/>
        </w:rPr>
        <w:t>nd discrepancies in the retroactive application of Cal-GETC course lists could result in unfair barriers for students who have completed IGETC coursework in good faith; and</w:t>
      </w:r>
    </w:p>
    <w:p w14:paraId="30110A72" w14:textId="24C6E498" w:rsidR="00C4417D" w:rsidRPr="00E771A3" w:rsidRDefault="00C4417D" w:rsidP="00C4417D">
      <w:pPr>
        <w:rPr>
          <w:rFonts w:cstheme="minorHAnsi"/>
        </w:rPr>
      </w:pPr>
      <w:r w:rsidRPr="00E771A3">
        <w:rPr>
          <w:rFonts w:eastAsia="Aptos" w:cstheme="minorHAnsi"/>
        </w:rPr>
        <w:t xml:space="preserve">Whereas, </w:t>
      </w:r>
      <w:r w:rsidR="0033108E">
        <w:rPr>
          <w:rFonts w:cstheme="minorHAnsi"/>
        </w:rPr>
        <w:t>According to</w:t>
      </w:r>
      <w:r w:rsidR="0033108E" w:rsidRPr="00E771A3">
        <w:rPr>
          <w:rFonts w:cstheme="minorHAnsi"/>
        </w:rPr>
        <w:t xml:space="preserve"> </w:t>
      </w:r>
      <w:r w:rsidRPr="00E771A3">
        <w:rPr>
          <w:rFonts w:cstheme="minorHAnsi"/>
        </w:rPr>
        <w:t xml:space="preserve">IGETC Standards </w:t>
      </w:r>
      <w:r w:rsidR="0033108E">
        <w:rPr>
          <w:rFonts w:cstheme="minorHAnsi"/>
        </w:rPr>
        <w:t xml:space="preserve">version </w:t>
      </w:r>
      <w:r w:rsidRPr="00E771A3">
        <w:rPr>
          <w:rFonts w:cstheme="minorHAnsi"/>
        </w:rPr>
        <w:t xml:space="preserve">2.4, section </w:t>
      </w:r>
      <w:r w:rsidRPr="00E771A3">
        <w:rPr>
          <w:rFonts w:cstheme="minorHAnsi"/>
          <w:iCs/>
        </w:rPr>
        <w:t xml:space="preserve">5.1.1 California Community College Course Application Rights Certification, </w:t>
      </w:r>
      <w:r w:rsidRPr="00E771A3">
        <w:rPr>
          <w:rFonts w:cstheme="minorHAnsi"/>
        </w:rPr>
        <w:t>coursework completed for IGETC will be honored provided that a course was on a college’s approved IGETC list when it was completed</w:t>
      </w:r>
      <w:r>
        <w:rPr>
          <w:rFonts w:cstheme="minorHAnsi"/>
        </w:rPr>
        <w:t xml:space="preserve">; </w:t>
      </w:r>
    </w:p>
    <w:p w14:paraId="18CA8438" w14:textId="4E1798E2" w:rsidR="00C4417D" w:rsidRPr="00E771A3" w:rsidRDefault="00C4417D" w:rsidP="00C4417D">
      <w:pPr>
        <w:spacing w:before="240" w:after="240"/>
        <w:rPr>
          <w:rFonts w:cstheme="minorHAnsi"/>
        </w:rPr>
      </w:pPr>
      <w:r w:rsidRPr="00E771A3">
        <w:rPr>
          <w:rFonts w:eastAsia="Aptos" w:cstheme="minorHAnsi"/>
        </w:rPr>
        <w:t xml:space="preserve">Resolved, That the Academic Senate for California Community Colleges work with the Intersegmental Committee of the Academic Senates to ensure that certification of coursework completed for IGETC will be honored for Cal-GETC, provided that all courses were previously listed on the California </w:t>
      </w:r>
      <w:r w:rsidR="0033108E">
        <w:rPr>
          <w:rFonts w:eastAsia="Aptos" w:cstheme="minorHAnsi"/>
        </w:rPr>
        <w:t>c</w:t>
      </w:r>
      <w:r w:rsidRPr="00E771A3">
        <w:rPr>
          <w:rFonts w:eastAsia="Aptos" w:cstheme="minorHAnsi"/>
        </w:rPr>
        <w:t xml:space="preserve">ommunity </w:t>
      </w:r>
      <w:r w:rsidR="0033108E">
        <w:rPr>
          <w:rFonts w:eastAsia="Aptos" w:cstheme="minorHAnsi"/>
        </w:rPr>
        <w:t>c</w:t>
      </w:r>
      <w:r w:rsidRPr="00E771A3">
        <w:rPr>
          <w:rFonts w:eastAsia="Aptos" w:cstheme="minorHAnsi"/>
        </w:rPr>
        <w:t xml:space="preserve">ollege’s approved IGETC list at the time </w:t>
      </w:r>
      <w:r w:rsidR="0033108E">
        <w:rPr>
          <w:rFonts w:eastAsia="Aptos" w:cstheme="minorHAnsi"/>
        </w:rPr>
        <w:t>they were</w:t>
      </w:r>
      <w:r w:rsidRPr="00E771A3">
        <w:rPr>
          <w:rFonts w:eastAsia="Aptos" w:cstheme="minorHAnsi"/>
        </w:rPr>
        <w:t xml:space="preserve"> completed by the student except for IGETC Area 1C; and</w:t>
      </w:r>
    </w:p>
    <w:p w14:paraId="2C3F12CA" w14:textId="77777777" w:rsidR="00C4417D" w:rsidRPr="00E771A3" w:rsidRDefault="00C4417D" w:rsidP="00C4417D">
      <w:pPr>
        <w:rPr>
          <w:rFonts w:eastAsia="Aptos" w:cstheme="minorHAnsi"/>
        </w:rPr>
      </w:pPr>
      <w:r w:rsidRPr="00E771A3">
        <w:rPr>
          <w:rFonts w:eastAsia="Aptos" w:cstheme="minorHAnsi"/>
        </w:rPr>
        <w:lastRenderedPageBreak/>
        <w:t>Resolved, That the Academic Senate for California Community Colleges</w:t>
      </w:r>
      <w:r w:rsidRPr="00E771A3" w:rsidDel="00644982">
        <w:rPr>
          <w:rFonts w:eastAsia="Aptos" w:cstheme="minorHAnsi"/>
        </w:rPr>
        <w:t xml:space="preserve"> </w:t>
      </w:r>
      <w:r w:rsidRPr="00E771A3">
        <w:rPr>
          <w:rFonts w:eastAsia="Aptos" w:cstheme="minorHAnsi"/>
        </w:rPr>
        <w:t>work with the Intersegmental Committee of the Academic Senates to ensure transparency and consistency in the recognition of IGETC coursework to uphold student transfer rights and promote seamless educational progress and that this policy be included in the Cal-GETC Standards publication.</w:t>
      </w:r>
    </w:p>
    <w:p w14:paraId="0AC09CF0" w14:textId="77777777" w:rsidR="00C4417D" w:rsidRDefault="00C4417D" w:rsidP="00C4417D">
      <w:pPr>
        <w:rPr>
          <w:rStyle w:val="Hyperlink"/>
          <w:rFonts w:eastAsia="Aptos" w:cstheme="minorHAnsi"/>
          <w:color w:val="auto"/>
          <w:u w:val="none"/>
        </w:rPr>
      </w:pPr>
      <w:r w:rsidRPr="00E771A3">
        <w:rPr>
          <w:rFonts w:eastAsia="Aptos" w:cstheme="minorHAnsi"/>
        </w:rPr>
        <w:t>Contact</w:t>
      </w:r>
      <w:r w:rsidRPr="00396A58">
        <w:rPr>
          <w:rFonts w:eastAsia="Aptos" w:cstheme="minorHAnsi"/>
        </w:rPr>
        <w:t xml:space="preserve">: </w:t>
      </w:r>
      <w:proofErr w:type="spellStart"/>
      <w:r w:rsidRPr="00396A58">
        <w:rPr>
          <w:rStyle w:val="Hyperlink"/>
          <w:rFonts w:eastAsia="Aptos" w:cstheme="minorHAnsi"/>
          <w:color w:val="auto"/>
          <w:u w:val="none"/>
        </w:rPr>
        <w:t>Melain</w:t>
      </w:r>
      <w:proofErr w:type="spellEnd"/>
      <w:r w:rsidRPr="00396A58">
        <w:rPr>
          <w:rStyle w:val="Hyperlink"/>
          <w:rFonts w:eastAsia="Aptos" w:cstheme="minorHAnsi"/>
          <w:color w:val="auto"/>
          <w:u w:val="none"/>
        </w:rPr>
        <w:t xml:space="preserve"> McIntosh, Compton College, Area C</w:t>
      </w:r>
    </w:p>
    <w:p w14:paraId="41C64F79" w14:textId="35D79AD9" w:rsidR="00C4417D" w:rsidRPr="007F31A2" w:rsidRDefault="00C4417D" w:rsidP="00C4417D">
      <w:r>
        <w:t>MS</w:t>
      </w:r>
      <w:r w:rsidR="00726CC4">
        <w:t>U</w:t>
      </w:r>
    </w:p>
    <w:p w14:paraId="38111AAD" w14:textId="2B5C4E93" w:rsidR="00AB57B2" w:rsidRPr="001A6DEA" w:rsidRDefault="000A65B8" w:rsidP="007F31A2">
      <w:pPr>
        <w:pStyle w:val="Heading1"/>
      </w:pPr>
      <w:bookmarkStart w:id="35" w:name="_Toc162362548"/>
      <w:bookmarkStart w:id="36" w:name="_Toc197090163"/>
      <w:r w:rsidRPr="001A6DEA">
        <w:t xml:space="preserve">102 </w:t>
      </w:r>
      <w:r>
        <w:t>DEGREE AND CERTIFICATE REQUIREMENTS</w:t>
      </w:r>
      <w:bookmarkEnd w:id="35"/>
      <w:bookmarkEnd w:id="36"/>
    </w:p>
    <w:p w14:paraId="702C20C4" w14:textId="0F3F2BC8" w:rsidR="00AB5804" w:rsidRPr="007F31A2" w:rsidRDefault="000A65B8" w:rsidP="007F31A2">
      <w:pPr>
        <w:pStyle w:val="Heading1"/>
      </w:pPr>
      <w:bookmarkStart w:id="37" w:name="_Toc162362549"/>
      <w:bookmarkStart w:id="38" w:name="_Toc197090164"/>
      <w:r w:rsidRPr="001A6DEA">
        <w:t>103 G</w:t>
      </w:r>
      <w:bookmarkEnd w:id="37"/>
      <w:r>
        <w:t>RADING POLICIES</w:t>
      </w:r>
      <w:bookmarkEnd w:id="38"/>
    </w:p>
    <w:p w14:paraId="544DB428" w14:textId="23FBB757" w:rsidR="00A30635" w:rsidRPr="00A30635" w:rsidRDefault="00A30635" w:rsidP="007F31A2">
      <w:pPr>
        <w:pStyle w:val="Heading2"/>
      </w:pPr>
      <w:bookmarkStart w:id="39" w:name="_Toc193947385"/>
      <w:bookmarkStart w:id="40" w:name="_Toc193890586"/>
      <w:bookmarkStart w:id="41" w:name="_Toc195691354"/>
      <w:bookmarkStart w:id="42" w:name="_Toc196496759"/>
      <w:bookmarkStart w:id="43" w:name="_Toc196500313"/>
      <w:bookmarkStart w:id="44" w:name="_Toc197090165"/>
      <w:r>
        <w:t xml:space="preserve">103.01 S25 </w:t>
      </w:r>
      <w:r w:rsidRPr="00F26AE6">
        <w:t xml:space="preserve">Advancing Credit for Prior Learning in Alignment with </w:t>
      </w:r>
      <w:r>
        <w:t xml:space="preserve">the </w:t>
      </w:r>
      <w:r w:rsidRPr="00F26AE6">
        <w:t>CCCCO Vision 2030 (Apprenticeships, Veterans Sprint</w:t>
      </w:r>
      <w:r>
        <w:t>,</w:t>
      </w:r>
      <w:r w:rsidRPr="00F26AE6">
        <w:t xml:space="preserve"> and Rising Scholars)</w:t>
      </w:r>
      <w:bookmarkEnd w:id="39"/>
      <w:bookmarkEnd w:id="40"/>
      <w:bookmarkEnd w:id="41"/>
      <w:bookmarkEnd w:id="42"/>
      <w:bookmarkEnd w:id="43"/>
      <w:bookmarkEnd w:id="44"/>
    </w:p>
    <w:p w14:paraId="248C6F9E" w14:textId="5324EF10" w:rsidR="00A30635" w:rsidRPr="00F26AE6" w:rsidRDefault="00A30635" w:rsidP="00A30635">
      <w:r w:rsidRPr="00F26AE6">
        <w:rPr>
          <w:bCs/>
        </w:rPr>
        <w:t xml:space="preserve">Whereas, </w:t>
      </w:r>
      <w:r>
        <w:t>T</w:t>
      </w:r>
      <w:r w:rsidRPr="00F26AE6">
        <w:t xml:space="preserve">he </w:t>
      </w:r>
      <w:r>
        <w:t>California Community Colleges Chancellor’s Office (</w:t>
      </w:r>
      <w:r w:rsidRPr="00F26AE6">
        <w:t>CCCCO</w:t>
      </w:r>
      <w:r>
        <w:t>)</w:t>
      </w:r>
      <w:r w:rsidRPr="00F26AE6">
        <w:t xml:space="preserve"> Vision 2030 emphasizes equitable access to education by advocating for the removal of systemic barriers to student success, including the recognition and awarding of </w:t>
      </w:r>
      <w:r w:rsidR="0033108E">
        <w:t>c</w:t>
      </w:r>
      <w:r w:rsidRPr="00F26AE6">
        <w:t xml:space="preserve">redit for </w:t>
      </w:r>
      <w:r w:rsidR="0033108E">
        <w:t>p</w:t>
      </w:r>
      <w:r w:rsidRPr="00F26AE6">
        <w:t xml:space="preserve">rior </w:t>
      </w:r>
      <w:r w:rsidR="0033108E">
        <w:t>l</w:t>
      </w:r>
      <w:r w:rsidRPr="00F26AE6">
        <w:t xml:space="preserve">earning (CPL), and aligns with the core academic and professional matters outlined in the </w:t>
      </w:r>
      <w:r w:rsidR="0033108E">
        <w:t>Title 5 §53200</w:t>
      </w:r>
      <w:r>
        <w:rPr>
          <w:rStyle w:val="FootnoteReference"/>
        </w:rPr>
        <w:footnoteReference w:id="8"/>
      </w:r>
      <w:r w:rsidRPr="00F26AE6">
        <w:t xml:space="preserve"> by fostering student achievement and seamless transfer pathways;</w:t>
      </w:r>
    </w:p>
    <w:p w14:paraId="3AA2B53A" w14:textId="6F4F3602" w:rsidR="00A30635" w:rsidRPr="00F26AE6" w:rsidRDefault="00A30635" w:rsidP="00A30635">
      <w:r w:rsidRPr="00F26AE6">
        <w:rPr>
          <w:bCs/>
        </w:rPr>
        <w:t>Whereas</w:t>
      </w:r>
      <w:r w:rsidRPr="00F26AE6">
        <w:t xml:space="preserve">, CCCCO </w:t>
      </w:r>
      <w:r w:rsidR="0033108E">
        <w:t>a</w:t>
      </w:r>
      <w:r w:rsidRPr="00F26AE6">
        <w:t>pprenticeship programs provide innovative pathways for students to gain hands-on experience and earn college credit through paid on-the-job training, aligning with the Vision 2030 goal of preparing students for in-demand careers and fostering economic mobility;</w:t>
      </w:r>
    </w:p>
    <w:p w14:paraId="0F0F3EBA" w14:textId="4CD7E2B0" w:rsidR="00A30635" w:rsidRPr="00F26AE6" w:rsidRDefault="00A30635" w:rsidP="00A30635">
      <w:r w:rsidRPr="00F26AE6">
        <w:rPr>
          <w:bCs/>
        </w:rPr>
        <w:t>Whereas</w:t>
      </w:r>
      <w:r w:rsidRPr="00F26AE6">
        <w:t xml:space="preserve">, </w:t>
      </w:r>
      <w:r>
        <w:t>T</w:t>
      </w:r>
      <w:r w:rsidRPr="00F26AE6">
        <w:t>he CCCCO Veterans Sprint initiative focuses on supporting veterans by streamlining CPL processes, ensuring their military training and experiences are recognized as valuable academic credit and promoting their successful transition into civilian careers; and</w:t>
      </w:r>
    </w:p>
    <w:p w14:paraId="56E61214" w14:textId="6F3BCAA1" w:rsidR="00A30635" w:rsidRPr="00F26AE6" w:rsidRDefault="00A30635" w:rsidP="00A30635">
      <w:r w:rsidRPr="00F26AE6">
        <w:rPr>
          <w:bCs/>
        </w:rPr>
        <w:t>Whereas</w:t>
      </w:r>
      <w:r w:rsidRPr="00F26AE6">
        <w:t xml:space="preserve">, </w:t>
      </w:r>
      <w:r>
        <w:t>T</w:t>
      </w:r>
      <w:r w:rsidRPr="00F26AE6">
        <w:t>he CCCCO Rising Scholars initiative supports system-impacted and formerly incarcerated students, providing equitable access to education and creating opportunities to recognize prior learning experiences gained through life and work, aligning with the Vision 2030 goals of inclusivity and student success;</w:t>
      </w:r>
    </w:p>
    <w:p w14:paraId="53505F0F" w14:textId="5394B5D6" w:rsidR="00A30635" w:rsidRPr="00F26AE6" w:rsidRDefault="00A30635" w:rsidP="00A30635">
      <w:r>
        <w:rPr>
          <w:bCs/>
        </w:rPr>
        <w:t>R</w:t>
      </w:r>
      <w:r w:rsidRPr="00F26AE6">
        <w:rPr>
          <w:bCs/>
        </w:rPr>
        <w:t xml:space="preserve">esolved, </w:t>
      </w:r>
      <w:r>
        <w:t>T</w:t>
      </w:r>
      <w:r w:rsidRPr="00F26AE6">
        <w:t>hat the Academic Senate for California Community Colleges</w:t>
      </w:r>
      <w:r>
        <w:t xml:space="preserve"> </w:t>
      </w:r>
      <w:r w:rsidRPr="00F26AE6">
        <w:t xml:space="preserve">support the expansion and implementation of the </w:t>
      </w:r>
      <w:r>
        <w:t>California Community Colleges Chancellor’s Office</w:t>
      </w:r>
      <w:r w:rsidRPr="00F26AE6">
        <w:t xml:space="preserve"> </w:t>
      </w:r>
      <w:r w:rsidR="006C7B23">
        <w:t>a</w:t>
      </w:r>
      <w:r w:rsidRPr="00F26AE6">
        <w:t>pprenticeship initiative to provide equitable access to career-focused learning opportunities and credit for on-the-job training;</w:t>
      </w:r>
    </w:p>
    <w:p w14:paraId="4D5B9B77" w14:textId="6FB058DE" w:rsidR="00A30635" w:rsidRPr="00F26AE6" w:rsidRDefault="00A30635" w:rsidP="00A30635">
      <w:r>
        <w:rPr>
          <w:bCs/>
        </w:rPr>
        <w:t>R</w:t>
      </w:r>
      <w:r w:rsidRPr="00F26AE6">
        <w:rPr>
          <w:bCs/>
        </w:rPr>
        <w:t xml:space="preserve">esolved, </w:t>
      </w:r>
      <w:r>
        <w:t>T</w:t>
      </w:r>
      <w:r w:rsidRPr="00F26AE6">
        <w:t xml:space="preserve">hat the Academic Senate for California Community Colleges support the </w:t>
      </w:r>
      <w:r>
        <w:t>California Community Colleges Chancellor’s Office</w:t>
      </w:r>
      <w:r w:rsidRPr="00F26AE6">
        <w:t xml:space="preserve"> Veterans Sprint initiative, advocating for streamlined </w:t>
      </w:r>
      <w:r w:rsidRPr="00F26AE6">
        <w:lastRenderedPageBreak/>
        <w:t xml:space="preserve">policies that recognize military training and experience as academic credit to ensure equitable educational opportunities for veterans; </w:t>
      </w:r>
      <w:r>
        <w:t>and</w:t>
      </w:r>
      <w:r w:rsidRPr="00F26AE6">
        <w:t xml:space="preserve"> </w:t>
      </w:r>
    </w:p>
    <w:p w14:paraId="4E67F5FA" w14:textId="5EBE7FC6" w:rsidR="00A30635" w:rsidRPr="00F26AE6" w:rsidRDefault="00A30635" w:rsidP="00A30635">
      <w:r>
        <w:rPr>
          <w:bCs/>
        </w:rPr>
        <w:t>R</w:t>
      </w:r>
      <w:r w:rsidRPr="00F26AE6">
        <w:rPr>
          <w:bCs/>
        </w:rPr>
        <w:t xml:space="preserve">esolved, </w:t>
      </w:r>
      <w:r>
        <w:t>T</w:t>
      </w:r>
      <w:r w:rsidRPr="00F26AE6">
        <w:t xml:space="preserve">hat the Academic Senate for California Community Colleges support the goals of the </w:t>
      </w:r>
      <w:r>
        <w:t>California Community Colleges Chancellor’s Office</w:t>
      </w:r>
      <w:r w:rsidRPr="00F26AE6">
        <w:t xml:space="preserve"> Rising Scholars Initiative, encouraging colleges to implement policies that recognize the prior learning of system-impacted and formerly incarcerated students to foster inclusivity and equity in educational opportunities</w:t>
      </w:r>
      <w:r>
        <w:t>.</w:t>
      </w:r>
      <w:r w:rsidRPr="00F26AE6">
        <w:t xml:space="preserve"> </w:t>
      </w:r>
      <w:r>
        <w:t xml:space="preserve"> </w:t>
      </w:r>
    </w:p>
    <w:p w14:paraId="20D4ABE6" w14:textId="0554582F" w:rsidR="00AB5804" w:rsidRPr="001A6DEA" w:rsidRDefault="00A30635" w:rsidP="00A30635">
      <w:r w:rsidRPr="00F26AE6">
        <w:t>Contact: Dr. Sigrid Williams, Norco College, Area D</w:t>
      </w:r>
    </w:p>
    <w:p w14:paraId="1362272F" w14:textId="7F6C6947" w:rsidR="000C3A14" w:rsidRDefault="00963E1C" w:rsidP="00AB5804">
      <w:r>
        <w:t>MS</w:t>
      </w:r>
      <w:r w:rsidR="00A30635">
        <w:t>U</w:t>
      </w:r>
    </w:p>
    <w:p w14:paraId="6451AD6E" w14:textId="4D38C444" w:rsidR="006D4F2C" w:rsidRPr="006D4F2C" w:rsidRDefault="006D4F2C" w:rsidP="007F31A2">
      <w:pPr>
        <w:pStyle w:val="Heading2"/>
      </w:pPr>
      <w:bookmarkStart w:id="45" w:name="_Toc197090166"/>
      <w:r>
        <w:t xml:space="preserve">103.04 S25 </w:t>
      </w:r>
      <w:r w:rsidRPr="00F26AE6">
        <w:t>Eliminating Financial Barriers: No Fees for Credit by Exam for Credit for Prior Learning</w:t>
      </w:r>
      <w:bookmarkEnd w:id="45"/>
    </w:p>
    <w:p w14:paraId="7AA3E5D0" w14:textId="2CE869DD" w:rsidR="006D4F2C" w:rsidRPr="00F26AE6" w:rsidRDefault="006D4F2C" w:rsidP="006D4F2C">
      <w:r w:rsidRPr="00F26AE6">
        <w:rPr>
          <w:bCs/>
        </w:rPr>
        <w:t>Whereas</w:t>
      </w:r>
      <w:r w:rsidRPr="00F26AE6">
        <w:t xml:space="preserve">, California </w:t>
      </w:r>
      <w:r>
        <w:t>c</w:t>
      </w:r>
      <w:r w:rsidRPr="000565E1">
        <w:t xml:space="preserve">ommunity </w:t>
      </w:r>
      <w:r>
        <w:t>c</w:t>
      </w:r>
      <w:r w:rsidRPr="00F26AE6">
        <w:t xml:space="preserve">olleges are committed to ensuring equitable access to </w:t>
      </w:r>
      <w:r w:rsidR="00856AA9">
        <w:t>c</w:t>
      </w:r>
      <w:r w:rsidRPr="00F26AE6">
        <w:t xml:space="preserve">redit for </w:t>
      </w:r>
      <w:r w:rsidR="00856AA9">
        <w:t>p</w:t>
      </w:r>
      <w:r w:rsidRPr="00F26AE6">
        <w:t xml:space="preserve">rior </w:t>
      </w:r>
      <w:r w:rsidR="00856AA9">
        <w:t>l</w:t>
      </w:r>
      <w:r w:rsidRPr="00F26AE6">
        <w:t>earning (CPL) for all students, recognizing the diverse experiences and knowledge students bring to their educational journeys;</w:t>
      </w:r>
    </w:p>
    <w:p w14:paraId="7CB45F75" w14:textId="15954377" w:rsidR="006D4F2C" w:rsidRPr="00F26AE6" w:rsidRDefault="006D4F2C" w:rsidP="006D4F2C">
      <w:r w:rsidRPr="00F26AE6">
        <w:rPr>
          <w:bCs/>
        </w:rPr>
        <w:t>Whereas</w:t>
      </w:r>
      <w:r w:rsidRPr="00F26AE6">
        <w:t xml:space="preserve">, </w:t>
      </w:r>
      <w:r>
        <w:t>W</w:t>
      </w:r>
      <w:r w:rsidRPr="00F26AE6">
        <w:t>hile California Education Code permits community colleges to charge students a fee for administering credit by exam, and</w:t>
      </w:r>
      <w:r w:rsidR="00856AA9">
        <w:t>,</w:t>
      </w:r>
      <w:r w:rsidRPr="00F26AE6">
        <w:t xml:space="preserve"> according to California Code of Regulations Title 5</w:t>
      </w:r>
      <w:r w:rsidR="00856AA9">
        <w:t xml:space="preserve"> §</w:t>
      </w:r>
      <w:r w:rsidRPr="00F26AE6">
        <w:t>55050</w:t>
      </w:r>
      <w:r>
        <w:rPr>
          <w:rStyle w:val="FootnoteReference"/>
        </w:rPr>
        <w:footnoteReference w:id="9"/>
      </w:r>
      <w:r w:rsidRPr="00F26AE6">
        <w:t>, a district may charge a fee for administering the examination as long as the fee does not exceed the enrollment fee for the course for which the student seeks credit</w:t>
      </w:r>
      <w:r>
        <w:t xml:space="preserve">, </w:t>
      </w:r>
      <w:r w:rsidR="00856AA9">
        <w:t>but</w:t>
      </w:r>
      <w:r w:rsidR="00856AA9" w:rsidRPr="00F26AE6">
        <w:t xml:space="preserve"> </w:t>
      </w:r>
      <w:r w:rsidR="00856AA9">
        <w:t>colleges should</w:t>
      </w:r>
      <w:r w:rsidRPr="00F26AE6">
        <w:t xml:space="preserve"> consider student equity when determining these fees </w:t>
      </w:r>
      <w:r>
        <w:t>to</w:t>
      </w:r>
      <w:r w:rsidRPr="000565E1">
        <w:t xml:space="preserve"> </w:t>
      </w:r>
      <w:r w:rsidRPr="00F26AE6">
        <w:t>ensure they do not place an undue financial burden on students seeking CPL, thereby limiting access to CPL</w:t>
      </w:r>
      <w:r>
        <w:t xml:space="preserve">; </w:t>
      </w:r>
    </w:p>
    <w:p w14:paraId="2EBF184C" w14:textId="4B6FA50C" w:rsidR="006D4F2C" w:rsidRPr="00F26AE6" w:rsidRDefault="006D4F2C" w:rsidP="006D4F2C">
      <w:r w:rsidRPr="00F26AE6">
        <w:rPr>
          <w:bCs/>
        </w:rPr>
        <w:t>Whereas,</w:t>
      </w:r>
      <w:r w:rsidRPr="00F26AE6">
        <w:t xml:space="preserve"> </w:t>
      </w:r>
      <w:r w:rsidR="00856AA9">
        <w:t>§</w:t>
      </w:r>
      <w:r w:rsidRPr="00F26AE6">
        <w:t xml:space="preserve">55050 of the </w:t>
      </w:r>
      <w:r w:rsidR="00856AA9">
        <w:t>c</w:t>
      </w:r>
      <w:r w:rsidRPr="00F26AE6">
        <w:t xml:space="preserve">redit for </w:t>
      </w:r>
      <w:r w:rsidR="00856AA9">
        <w:t>p</w:t>
      </w:r>
      <w:r w:rsidRPr="00F26AE6">
        <w:t xml:space="preserve">rior </w:t>
      </w:r>
      <w:r w:rsidR="00856AA9">
        <w:t>l</w:t>
      </w:r>
      <w:r w:rsidRPr="00F26AE6">
        <w:t xml:space="preserve">earning regulation </w:t>
      </w:r>
      <w:r w:rsidR="00856AA9">
        <w:t xml:space="preserve">in Title 5 </w:t>
      </w:r>
      <w:r w:rsidRPr="00F26AE6">
        <w:t>states that the determination to offer credit by examination rests solely on the discretion of the discipline faculty and that a separate examination shall be conducted for each course for which credit is to be granted;</w:t>
      </w:r>
      <w:r>
        <w:t xml:space="preserve"> and</w:t>
      </w:r>
    </w:p>
    <w:p w14:paraId="7413DAC5" w14:textId="0C8382C9" w:rsidR="006D4F2C" w:rsidRPr="00F26AE6" w:rsidRDefault="006D4F2C" w:rsidP="006D4F2C">
      <w:r w:rsidRPr="00F26AE6">
        <w:rPr>
          <w:bCs/>
        </w:rPr>
        <w:t>Whereas,</w:t>
      </w:r>
      <w:r w:rsidRPr="00F26AE6">
        <w:t xml:space="preserve"> </w:t>
      </w:r>
      <w:r>
        <w:t>C</w:t>
      </w:r>
      <w:r w:rsidR="00856AA9">
        <w:t>olleges may grant c</w:t>
      </w:r>
      <w:r w:rsidRPr="00F26AE6">
        <w:t>redit only to student</w:t>
      </w:r>
      <w:r w:rsidR="00856AA9">
        <w:t>s</w:t>
      </w:r>
      <w:r w:rsidRPr="00F26AE6">
        <w:t xml:space="preserve"> who </w:t>
      </w:r>
      <w:r w:rsidR="00856AA9">
        <w:t>are</w:t>
      </w:r>
      <w:r w:rsidRPr="00F26AE6">
        <w:t xml:space="preserve"> registered at the college and in good standing and only for course</w:t>
      </w:r>
      <w:r w:rsidR="00856AA9">
        <w:t>s</w:t>
      </w:r>
      <w:r w:rsidRPr="00F26AE6">
        <w:t xml:space="preserve"> listed in the catalog of the college;</w:t>
      </w:r>
    </w:p>
    <w:p w14:paraId="38BCBC7D" w14:textId="66BEF73D" w:rsidR="006D4F2C" w:rsidRPr="00F26AE6" w:rsidRDefault="006D4F2C" w:rsidP="006D4F2C">
      <w:r>
        <w:t>Resolved</w:t>
      </w:r>
      <w:r w:rsidRPr="000565E1">
        <w:t xml:space="preserve">, </w:t>
      </w:r>
      <w:r>
        <w:t>T</w:t>
      </w:r>
      <w:r w:rsidRPr="00F26AE6">
        <w:t xml:space="preserve">hat the Academic Senate for California Community Colleges recommend that no fee be assessed for </w:t>
      </w:r>
      <w:r w:rsidR="00856AA9">
        <w:t>c</w:t>
      </w:r>
      <w:r w:rsidRPr="00F26AE6">
        <w:t xml:space="preserve">redit for </w:t>
      </w:r>
      <w:r w:rsidR="00856AA9">
        <w:t>p</w:t>
      </w:r>
      <w:r w:rsidRPr="00F26AE6">
        <w:t xml:space="preserve">rior </w:t>
      </w:r>
      <w:r w:rsidR="00856AA9">
        <w:t>l</w:t>
      </w:r>
      <w:r w:rsidRPr="00F26AE6">
        <w:t xml:space="preserve">earning examinations. </w:t>
      </w:r>
    </w:p>
    <w:p w14:paraId="3B97EA3E" w14:textId="77777777" w:rsidR="006D4F2C" w:rsidRDefault="006D4F2C" w:rsidP="006D4F2C">
      <w:r w:rsidRPr="00F26AE6">
        <w:t>Contact: Dr. Sigrid Williams, Norco College, Area D</w:t>
      </w:r>
    </w:p>
    <w:p w14:paraId="0229BE3C" w14:textId="62C9A2EF" w:rsidR="00BC0EBA" w:rsidRDefault="00834B9C" w:rsidP="00AB5804">
      <w:r>
        <w:t>MS</w:t>
      </w:r>
      <w:r w:rsidR="00F74D0D">
        <w:t>C</w:t>
      </w:r>
    </w:p>
    <w:p w14:paraId="1542E64F" w14:textId="6C7C84A9" w:rsidR="00A30635" w:rsidRDefault="00F05C3F" w:rsidP="007F31A2">
      <w:pPr>
        <w:pStyle w:val="Heading1"/>
      </w:pPr>
      <w:bookmarkStart w:id="46" w:name="_Toc197090167"/>
      <w:r w:rsidRPr="00FF14AB">
        <w:lastRenderedPageBreak/>
        <w:t>10</w:t>
      </w:r>
      <w:r w:rsidR="005C4A2B">
        <w:t>4</w:t>
      </w:r>
      <w:r w:rsidRPr="00FF14AB">
        <w:t xml:space="preserve"> </w:t>
      </w:r>
      <w:r w:rsidR="005C4A2B">
        <w:t>EDUCATIONAL PROGRAM REQUIREMENTS</w:t>
      </w:r>
      <w:bookmarkEnd w:id="46"/>
    </w:p>
    <w:p w14:paraId="6536F518" w14:textId="7FFA3F6D" w:rsidR="006E1660" w:rsidRPr="006E1660" w:rsidRDefault="006E1660" w:rsidP="007F31A2">
      <w:pPr>
        <w:pStyle w:val="Heading2"/>
      </w:pPr>
      <w:bookmarkStart w:id="47" w:name="_Toc193947390"/>
      <w:bookmarkStart w:id="48" w:name="_Toc193890591"/>
      <w:bookmarkStart w:id="49" w:name="_Toc195691359"/>
      <w:bookmarkStart w:id="50" w:name="_Toc196496765"/>
      <w:bookmarkStart w:id="51" w:name="_Toc196500320"/>
      <w:bookmarkStart w:id="52" w:name="_Toc197090168"/>
      <w:r>
        <w:t>104.01 S25 Reimagining Transfer Alignment Efforts</w:t>
      </w:r>
      <w:bookmarkEnd w:id="47"/>
      <w:bookmarkEnd w:id="48"/>
      <w:bookmarkEnd w:id="49"/>
      <w:bookmarkEnd w:id="50"/>
      <w:bookmarkEnd w:id="51"/>
      <w:bookmarkEnd w:id="52"/>
    </w:p>
    <w:p w14:paraId="4A0D14F9" w14:textId="715F7C60" w:rsidR="006E1660" w:rsidRPr="006E10A6" w:rsidDel="006E10A6" w:rsidRDefault="006E1660" w:rsidP="006E1660">
      <w:pPr>
        <w:rPr>
          <w:rFonts w:ascii="Calibri" w:hAnsi="Calibri" w:cs="Calibri"/>
          <w:color w:val="0A0A0A"/>
          <w:shd w:val="clear" w:color="auto" w:fill="FFFFFF"/>
        </w:rPr>
      </w:pPr>
      <w:r w:rsidRPr="22ED6E80">
        <w:rPr>
          <w:rFonts w:ascii="Calibri" w:hAnsi="Calibri" w:cs="Calibri"/>
        </w:rPr>
        <w:t xml:space="preserve">Whereas, </w:t>
      </w:r>
      <w:r w:rsidR="006121C6">
        <w:rPr>
          <w:rFonts w:ascii="Calibri" w:hAnsi="Calibri" w:cs="Calibri"/>
        </w:rPr>
        <w:t xml:space="preserve">The </w:t>
      </w:r>
      <w:r w:rsidR="006121C6" w:rsidRPr="00F26AE6">
        <w:t>Academic Senate for California Community Colleges</w:t>
      </w:r>
      <w:r>
        <w:rPr>
          <w:rFonts w:ascii="Calibri" w:hAnsi="Calibri" w:cs="Calibri"/>
        </w:rPr>
        <w:t xml:space="preserve"> adopted </w:t>
      </w:r>
      <w:r w:rsidRPr="007318C4">
        <w:rPr>
          <w:rFonts w:ascii="Calibri" w:hAnsi="Calibri" w:cs="Calibri"/>
        </w:rPr>
        <w:t xml:space="preserve">Resolution </w:t>
      </w:r>
      <w:r w:rsidRPr="007318C4">
        <w:rPr>
          <w:rStyle w:val="Hyperlink"/>
          <w:rFonts w:ascii="Calibri" w:hAnsi="Calibri" w:cs="Calibri"/>
          <w:color w:val="auto"/>
          <w:u w:val="none"/>
        </w:rPr>
        <w:t>15.01 F17</w:t>
      </w:r>
      <w:r w:rsidR="006121C6">
        <w:rPr>
          <w:rStyle w:val="Hyperlink"/>
          <w:rFonts w:ascii="Calibri" w:hAnsi="Calibri" w:cs="Calibri"/>
          <w:color w:val="auto"/>
          <w:u w:val="none"/>
        </w:rPr>
        <w:t>,</w:t>
      </w:r>
      <w:r w:rsidRPr="007318C4">
        <w:rPr>
          <w:rStyle w:val="FootnoteReference"/>
          <w:rFonts w:cs="Calibri"/>
          <w:color w:val="7B7B7B" w:themeColor="accent3" w:themeShade="BF"/>
        </w:rPr>
        <w:footnoteReference w:id="10"/>
      </w:r>
      <w:r w:rsidRPr="22ED6E80">
        <w:rPr>
          <w:rFonts w:ascii="Calibri" w:hAnsi="Calibri" w:cs="Calibri"/>
        </w:rPr>
        <w:t xml:space="preserve"> </w:t>
      </w:r>
      <w:r w:rsidR="006121C6">
        <w:rPr>
          <w:rFonts w:ascii="Calibri" w:hAnsi="Calibri" w:cs="Calibri"/>
        </w:rPr>
        <w:t xml:space="preserve">which </w:t>
      </w:r>
      <w:r>
        <w:rPr>
          <w:rFonts w:ascii="Calibri" w:hAnsi="Calibri" w:cs="Calibri"/>
        </w:rPr>
        <w:t>resolved that</w:t>
      </w:r>
      <w:r w:rsidRPr="22ED6E80">
        <w:rPr>
          <w:rFonts w:ascii="Calibri" w:hAnsi="Calibri" w:cs="Calibri"/>
        </w:rPr>
        <w:t xml:space="preserve"> “</w:t>
      </w:r>
      <w:r w:rsidRPr="22ED6E80">
        <w:rPr>
          <w:rFonts w:ascii="Calibri" w:hAnsi="Calibri" w:cs="Calibri"/>
          <w:color w:val="0A0A0A"/>
          <w:shd w:val="clear" w:color="auto" w:fill="FFFFFF"/>
        </w:rPr>
        <w:t xml:space="preserve">the Academic Senate for California Community Colleges work with the Academic Senates of the California State University and the University of California to identify a single pathway in each of the </w:t>
      </w:r>
      <w:r w:rsidR="006121C6">
        <w:rPr>
          <w:rFonts w:ascii="Calibri" w:hAnsi="Calibri" w:cs="Calibri"/>
          <w:color w:val="0A0A0A"/>
          <w:shd w:val="clear" w:color="auto" w:fill="FFFFFF"/>
        </w:rPr>
        <w:t xml:space="preserve">majors </w:t>
      </w:r>
      <w:r w:rsidRPr="22ED6E80">
        <w:rPr>
          <w:rFonts w:ascii="Calibri" w:hAnsi="Calibri" w:cs="Calibri"/>
          <w:color w:val="0A0A0A"/>
          <w:shd w:val="clear" w:color="auto" w:fill="FFFFFF"/>
        </w:rPr>
        <w:t xml:space="preserve">with an Associate Degree for Transfer to ensure that students will be prepared to transfer into either the California State University or the University of California systems”; </w:t>
      </w:r>
    </w:p>
    <w:p w14:paraId="72EA7556" w14:textId="77336868" w:rsidR="006E1660" w:rsidRPr="006E10A6" w:rsidDel="006E10A6" w:rsidRDefault="006E1660" w:rsidP="006E1660">
      <w:pPr>
        <w:rPr>
          <w:rFonts w:ascii="Calibri" w:hAnsi="Calibri" w:cs="Calibri"/>
          <w:color w:val="0A0A0A"/>
          <w:shd w:val="clear" w:color="auto" w:fill="FFFFFF"/>
        </w:rPr>
      </w:pPr>
      <w:r w:rsidRPr="22ED6E80">
        <w:rPr>
          <w:rFonts w:ascii="Calibri" w:hAnsi="Calibri" w:cs="Calibri"/>
          <w:color w:val="0A0A0A"/>
          <w:shd w:val="clear" w:color="auto" w:fill="FFFFFF"/>
        </w:rPr>
        <w:t>Whereas, The Transfer Alignment Project and the Course Identification Number system have been working with faculty from all three segments to modify transfer model curricul</w:t>
      </w:r>
      <w:r w:rsidR="006121C6">
        <w:rPr>
          <w:rFonts w:ascii="Calibri" w:hAnsi="Calibri" w:cs="Calibri"/>
          <w:color w:val="0A0A0A"/>
          <w:shd w:val="clear" w:color="auto" w:fill="FFFFFF"/>
        </w:rPr>
        <w:t>a</w:t>
      </w:r>
      <w:r w:rsidRPr="22ED6E80">
        <w:rPr>
          <w:rFonts w:ascii="Calibri" w:hAnsi="Calibri" w:cs="Calibri"/>
          <w:color w:val="0A0A0A"/>
          <w:shd w:val="clear" w:color="auto" w:fill="FFFFFF"/>
        </w:rPr>
        <w:t xml:space="preserve"> (TMCs) to encompass the major preparation requirements for both the California State University (CSU) and University of California (UC) systems;</w:t>
      </w:r>
    </w:p>
    <w:p w14:paraId="27A45F20" w14:textId="7BE72AD1" w:rsidR="006E1660" w:rsidRPr="006E10A6" w:rsidDel="006E10A6" w:rsidRDefault="006E1660" w:rsidP="006E1660">
      <w:pPr>
        <w:rPr>
          <w:rFonts w:ascii="Calibri" w:hAnsi="Calibri" w:cs="Calibri"/>
          <w:color w:val="0A0A0A"/>
          <w:shd w:val="clear" w:color="auto" w:fill="FFFFFF"/>
        </w:rPr>
      </w:pPr>
      <w:r w:rsidRPr="22ED6E80">
        <w:rPr>
          <w:rFonts w:ascii="Calibri" w:hAnsi="Calibri" w:cs="Calibri"/>
          <w:color w:val="0A0A0A"/>
          <w:shd w:val="clear" w:color="auto" w:fill="FFFFFF"/>
        </w:rPr>
        <w:t>Whereas, Many UC Transfer Pathways</w:t>
      </w:r>
      <w:r w:rsidR="006121C6">
        <w:rPr>
          <w:rFonts w:ascii="Calibri" w:hAnsi="Calibri" w:cs="Calibri"/>
          <w:color w:val="0A0A0A"/>
          <w:shd w:val="clear" w:color="auto" w:fill="FFFFFF"/>
        </w:rPr>
        <w:t xml:space="preserve"> </w:t>
      </w:r>
      <w:r w:rsidRPr="22ED6E80">
        <w:rPr>
          <w:rFonts w:ascii="Calibri" w:hAnsi="Calibri" w:cs="Calibri"/>
          <w:color w:val="0A0A0A"/>
          <w:shd w:val="clear" w:color="auto" w:fill="FFFFFF"/>
        </w:rPr>
        <w:t>in high unit science, technology, engineering, and mathematics disciplines cannot be converted into a TMC, even with modifications to the California General Education Transfer Curriculum (Cal-GETC), because they have too many units to fit within the 66 units permitted by AB 2057 (Berman, 2023)</w:t>
      </w:r>
      <w:r w:rsidR="006121C6">
        <w:rPr>
          <w:rFonts w:ascii="Calibri" w:hAnsi="Calibri" w:cs="Calibri"/>
          <w:color w:val="0A0A0A"/>
          <w:shd w:val="clear" w:color="auto" w:fill="FFFFFF"/>
        </w:rPr>
        <w:t>,</w:t>
      </w:r>
      <w:r>
        <w:rPr>
          <w:rStyle w:val="FootnoteReference"/>
          <w:rFonts w:cs="Calibri"/>
          <w:color w:val="0A0A0A"/>
          <w:shd w:val="clear" w:color="auto" w:fill="FFFFFF"/>
        </w:rPr>
        <w:footnoteReference w:id="11"/>
      </w:r>
      <w:r w:rsidRPr="22ED6E80">
        <w:rPr>
          <w:rFonts w:ascii="Calibri" w:hAnsi="Calibri" w:cs="Calibri"/>
          <w:color w:val="0A0A0A"/>
          <w:shd w:val="clear" w:color="auto" w:fill="FFFFFF"/>
        </w:rPr>
        <w:t xml:space="preserve"> requiring removal of courses from the preferred major preparation to create a compl</w:t>
      </w:r>
      <w:r>
        <w:rPr>
          <w:rFonts w:ascii="Calibri" w:hAnsi="Calibri" w:cs="Calibri"/>
          <w:color w:val="0A0A0A"/>
          <w:shd w:val="clear" w:color="auto" w:fill="FFFFFF"/>
        </w:rPr>
        <w:t>ia</w:t>
      </w:r>
      <w:r w:rsidRPr="22ED6E80">
        <w:rPr>
          <w:rFonts w:ascii="Calibri" w:hAnsi="Calibri" w:cs="Calibri"/>
          <w:color w:val="0A0A0A"/>
          <w:shd w:val="clear" w:color="auto" w:fill="FFFFFF"/>
        </w:rPr>
        <w:t xml:space="preserve">nt </w:t>
      </w:r>
      <w:r w:rsidR="006121C6">
        <w:rPr>
          <w:rFonts w:ascii="Calibri" w:hAnsi="Calibri" w:cs="Calibri"/>
          <w:color w:val="0A0A0A"/>
          <w:shd w:val="clear" w:color="auto" w:fill="FFFFFF"/>
        </w:rPr>
        <w:t>a</w:t>
      </w:r>
      <w:r w:rsidRPr="22ED6E80">
        <w:rPr>
          <w:rFonts w:ascii="Calibri" w:hAnsi="Calibri" w:cs="Calibri"/>
          <w:color w:val="0A0A0A"/>
          <w:shd w:val="clear" w:color="auto" w:fill="FFFFFF"/>
        </w:rPr>
        <w:t xml:space="preserve">ssociate </w:t>
      </w:r>
      <w:r w:rsidR="006121C6">
        <w:rPr>
          <w:rFonts w:ascii="Calibri" w:hAnsi="Calibri" w:cs="Calibri"/>
          <w:color w:val="0A0A0A"/>
          <w:shd w:val="clear" w:color="auto" w:fill="FFFFFF"/>
        </w:rPr>
        <w:t>d</w:t>
      </w:r>
      <w:r w:rsidRPr="22ED6E80">
        <w:rPr>
          <w:rFonts w:ascii="Calibri" w:hAnsi="Calibri" w:cs="Calibri"/>
          <w:color w:val="0A0A0A"/>
          <w:shd w:val="clear" w:color="auto" w:fill="FFFFFF"/>
        </w:rPr>
        <w:t xml:space="preserve">egree for </w:t>
      </w:r>
      <w:r w:rsidR="006121C6">
        <w:rPr>
          <w:rFonts w:ascii="Calibri" w:hAnsi="Calibri" w:cs="Calibri"/>
          <w:color w:val="0A0A0A"/>
          <w:shd w:val="clear" w:color="auto" w:fill="FFFFFF"/>
        </w:rPr>
        <w:t>t</w:t>
      </w:r>
      <w:r w:rsidRPr="22ED6E80">
        <w:rPr>
          <w:rFonts w:ascii="Calibri" w:hAnsi="Calibri" w:cs="Calibri"/>
          <w:color w:val="0A0A0A"/>
          <w:shd w:val="clear" w:color="auto" w:fill="FFFFFF"/>
        </w:rPr>
        <w:t>ransfer; and</w:t>
      </w:r>
    </w:p>
    <w:p w14:paraId="67E22444" w14:textId="6E629ACB" w:rsidR="006E1660" w:rsidRPr="006E10A6" w:rsidDel="006E10A6" w:rsidRDefault="006E1660" w:rsidP="006E1660">
      <w:pPr>
        <w:rPr>
          <w:rFonts w:ascii="Calibri" w:hAnsi="Calibri" w:cs="Calibri"/>
          <w:color w:val="0A0A0A"/>
          <w:shd w:val="clear" w:color="auto" w:fill="FFFFFF"/>
        </w:rPr>
      </w:pPr>
      <w:r w:rsidRPr="22ED6E80">
        <w:rPr>
          <w:rFonts w:ascii="Calibri" w:hAnsi="Calibri" w:cs="Calibri"/>
          <w:color w:val="0A0A0A"/>
          <w:shd w:val="clear" w:color="auto" w:fill="FFFFFF"/>
        </w:rPr>
        <w:t>Whereas, Any aligned transfer pattern should provide students with the equivalent preparation as students that began their studies at a CSU or UC campus</w:t>
      </w:r>
      <w:r w:rsidR="006121C6">
        <w:rPr>
          <w:rFonts w:ascii="Calibri" w:hAnsi="Calibri" w:cs="Calibri"/>
          <w:color w:val="0A0A0A"/>
          <w:shd w:val="clear" w:color="auto" w:fill="FFFFFF"/>
        </w:rPr>
        <w:t>,</w:t>
      </w:r>
      <w:r w:rsidRPr="22ED6E80">
        <w:rPr>
          <w:rFonts w:ascii="Calibri" w:hAnsi="Calibri" w:cs="Calibri"/>
          <w:color w:val="0A0A0A"/>
          <w:shd w:val="clear" w:color="auto" w:fill="FFFFFF"/>
        </w:rPr>
        <w:t xml:space="preserve"> and community college students completing this transfer pattern should be prepared for junior level coursework in their chosen major</w:t>
      </w:r>
      <w:r w:rsidR="006121C6">
        <w:rPr>
          <w:rFonts w:ascii="Calibri" w:hAnsi="Calibri" w:cs="Calibri"/>
          <w:color w:val="0A0A0A"/>
          <w:shd w:val="clear" w:color="auto" w:fill="FFFFFF"/>
        </w:rPr>
        <w:t>s</w:t>
      </w:r>
      <w:r w:rsidRPr="22ED6E80">
        <w:rPr>
          <w:rFonts w:ascii="Calibri" w:hAnsi="Calibri" w:cs="Calibri"/>
          <w:color w:val="0A0A0A"/>
          <w:shd w:val="clear" w:color="auto" w:fill="FFFFFF"/>
        </w:rPr>
        <w:t xml:space="preserve"> at a campus in either system;</w:t>
      </w:r>
    </w:p>
    <w:p w14:paraId="69963624" w14:textId="0E15E42E" w:rsidR="006E1660" w:rsidRPr="006E10A6" w:rsidRDefault="006E1660" w:rsidP="006E1660">
      <w:pPr>
        <w:rPr>
          <w:rFonts w:ascii="Calibri" w:hAnsi="Calibri" w:cs="Calibri"/>
          <w:color w:val="0A0A0A"/>
          <w:shd w:val="clear" w:color="auto" w:fill="FFFFFF"/>
        </w:rPr>
      </w:pPr>
      <w:r w:rsidRPr="22ED6E80">
        <w:rPr>
          <w:rFonts w:ascii="Calibri" w:hAnsi="Calibri" w:cs="Calibri"/>
          <w:color w:val="0A0A0A"/>
          <w:shd w:val="clear" w:color="auto" w:fill="FFFFFF"/>
        </w:rPr>
        <w:t xml:space="preserve">Resolved, That the Academic Senate for California Community Colleges work with the Academic Senates of the California State University and the University of California and each segment’s system office to propose and develop an aligned alternative to the </w:t>
      </w:r>
      <w:r w:rsidR="006121C6">
        <w:rPr>
          <w:rFonts w:ascii="Calibri" w:hAnsi="Calibri" w:cs="Calibri"/>
          <w:color w:val="0A0A0A"/>
          <w:shd w:val="clear" w:color="auto" w:fill="FFFFFF"/>
        </w:rPr>
        <w:t>a</w:t>
      </w:r>
      <w:r w:rsidRPr="22ED6E80">
        <w:rPr>
          <w:rFonts w:ascii="Calibri" w:hAnsi="Calibri" w:cs="Calibri"/>
          <w:color w:val="0A0A0A"/>
          <w:shd w:val="clear" w:color="auto" w:fill="FFFFFF"/>
        </w:rPr>
        <w:t xml:space="preserve">ssociate </w:t>
      </w:r>
      <w:r w:rsidR="006121C6">
        <w:rPr>
          <w:rFonts w:ascii="Calibri" w:hAnsi="Calibri" w:cs="Calibri"/>
          <w:color w:val="0A0A0A"/>
          <w:shd w:val="clear" w:color="auto" w:fill="FFFFFF"/>
        </w:rPr>
        <w:t>d</w:t>
      </w:r>
      <w:r w:rsidRPr="22ED6E80">
        <w:rPr>
          <w:rFonts w:ascii="Calibri" w:hAnsi="Calibri" w:cs="Calibri"/>
          <w:color w:val="0A0A0A"/>
          <w:shd w:val="clear" w:color="auto" w:fill="FFFFFF"/>
        </w:rPr>
        <w:t xml:space="preserve">egree for </w:t>
      </w:r>
      <w:r w:rsidR="006121C6">
        <w:rPr>
          <w:rFonts w:ascii="Calibri" w:hAnsi="Calibri" w:cs="Calibri"/>
          <w:color w:val="0A0A0A"/>
          <w:shd w:val="clear" w:color="auto" w:fill="FFFFFF"/>
        </w:rPr>
        <w:t>t</w:t>
      </w:r>
      <w:r w:rsidRPr="22ED6E80">
        <w:rPr>
          <w:rFonts w:ascii="Calibri" w:hAnsi="Calibri" w:cs="Calibri"/>
          <w:color w:val="0A0A0A"/>
          <w:shd w:val="clear" w:color="auto" w:fill="FFFFFF"/>
        </w:rPr>
        <w:t xml:space="preserve">ransfer for high unit </w:t>
      </w:r>
      <w:r w:rsidRPr="22ED6E80">
        <w:rPr>
          <w:rFonts w:ascii="Calibri" w:hAnsi="Calibri" w:cs="Calibri"/>
          <w:color w:val="0A0A0A"/>
        </w:rPr>
        <w:t xml:space="preserve">science, technology, engineering, and mathematics </w:t>
      </w:r>
      <w:r w:rsidRPr="22ED6E80">
        <w:rPr>
          <w:rFonts w:ascii="Calibri" w:hAnsi="Calibri" w:cs="Calibri"/>
          <w:color w:val="0A0A0A"/>
          <w:shd w:val="clear" w:color="auto" w:fill="FFFFFF"/>
        </w:rPr>
        <w:t>majors that includes guaranteed admission and any major preparation course required by either segment</w:t>
      </w:r>
      <w:r w:rsidRPr="22ED6E80">
        <w:rPr>
          <w:rFonts w:ascii="Calibri" w:hAnsi="Calibri" w:cs="Calibri"/>
          <w:color w:val="0A0A0A"/>
        </w:rPr>
        <w:t xml:space="preserve">.  </w:t>
      </w:r>
    </w:p>
    <w:p w14:paraId="42A8036E" w14:textId="77777777" w:rsidR="006E1660" w:rsidRDefault="006E1660" w:rsidP="006E1660">
      <w:pPr>
        <w:rPr>
          <w:rFonts w:ascii="Calibri" w:hAnsi="Calibri" w:cs="Calibri"/>
          <w:color w:val="0A0A0A"/>
          <w:shd w:val="clear" w:color="auto" w:fill="FFFFFF"/>
        </w:rPr>
      </w:pPr>
      <w:r w:rsidRPr="22ED6E80">
        <w:rPr>
          <w:rFonts w:ascii="Calibri" w:hAnsi="Calibri" w:cs="Calibri"/>
          <w:color w:val="0A0A0A"/>
          <w:shd w:val="clear" w:color="auto" w:fill="FFFFFF"/>
        </w:rPr>
        <w:t>Contact: Craig Rutan, Santiago Canyon College, C-ID Curriculum Director</w:t>
      </w:r>
    </w:p>
    <w:p w14:paraId="25586B13" w14:textId="571B7A52" w:rsidR="00B6177C" w:rsidRDefault="006E1660" w:rsidP="00AB5804">
      <w:r>
        <w:t>MSC</w:t>
      </w:r>
    </w:p>
    <w:p w14:paraId="6587EA00" w14:textId="74215A1F" w:rsidR="00F14FD0" w:rsidRPr="00B710E8" w:rsidRDefault="000A65B8" w:rsidP="007F55CA">
      <w:pPr>
        <w:rPr>
          <w:bCs/>
        </w:rPr>
      </w:pPr>
      <w:r w:rsidRPr="007F55CA">
        <w:rPr>
          <w:b/>
          <w:bCs/>
        </w:rPr>
        <w:t>105 ST</w:t>
      </w:r>
      <w:r w:rsidR="00EE41B2" w:rsidRPr="007F55CA">
        <w:rPr>
          <w:b/>
          <w:bCs/>
        </w:rPr>
        <w:t>U</w:t>
      </w:r>
      <w:r w:rsidRPr="007F55CA">
        <w:rPr>
          <w:b/>
          <w:bCs/>
        </w:rPr>
        <w:t>DENT PREPARATION AND SUCCESS</w:t>
      </w:r>
    </w:p>
    <w:p w14:paraId="42B084C7" w14:textId="3E8B47CE" w:rsidR="008E715A" w:rsidRPr="008E715A" w:rsidRDefault="00C81C15" w:rsidP="00F46FD9">
      <w:pPr>
        <w:pStyle w:val="Heading2"/>
      </w:pPr>
      <w:bookmarkStart w:id="53" w:name="_Toc193947392"/>
      <w:bookmarkStart w:id="54" w:name="_Toc193890593"/>
      <w:bookmarkStart w:id="55" w:name="_Toc195691362"/>
      <w:bookmarkStart w:id="56" w:name="_Toc196496768"/>
      <w:bookmarkStart w:id="57" w:name="_Toc196500323"/>
      <w:bookmarkStart w:id="58" w:name="_Toc197090169"/>
      <w:r>
        <w:lastRenderedPageBreak/>
        <w:t>105.01 S25 Catalog Rights for Dual Enrollment Students</w:t>
      </w:r>
      <w:bookmarkEnd w:id="53"/>
      <w:bookmarkEnd w:id="54"/>
      <w:bookmarkEnd w:id="55"/>
      <w:bookmarkEnd w:id="56"/>
      <w:bookmarkEnd w:id="57"/>
      <w:bookmarkEnd w:id="58"/>
    </w:p>
    <w:p w14:paraId="33417649" w14:textId="00469DE2" w:rsidR="00C81C15" w:rsidRDefault="00C81C15" w:rsidP="00C81C15">
      <w:r w:rsidRPr="00D4326E">
        <w:t>Whereas, California Code of Regulations Title 5 §40401</w:t>
      </w:r>
      <w:r w:rsidRPr="00D4326E">
        <w:rPr>
          <w:rStyle w:val="FootnoteReference"/>
        </w:rPr>
        <w:footnoteReference w:id="12"/>
      </w:r>
      <w:r w:rsidRPr="00D4326E">
        <w:t xml:space="preserve"> establishes a system-wide catalog rights policy for undergraduate students of the California State University, which include</w:t>
      </w:r>
      <w:r w:rsidR="00B6177C">
        <w:t>s</w:t>
      </w:r>
      <w:r w:rsidRPr="00D4326E">
        <w:t xml:space="preserve"> California community college transfer students, and allows</w:t>
      </w:r>
      <w:r w:rsidR="00B6177C">
        <w:t xml:space="preserve"> that</w:t>
      </w:r>
      <w:r w:rsidRPr="00D4326E">
        <w:t xml:space="preserve"> </w:t>
      </w:r>
    </w:p>
    <w:p w14:paraId="14590476" w14:textId="6F57281F" w:rsidR="00C81C15" w:rsidRDefault="00C81C15" w:rsidP="00B6177C">
      <w:pPr>
        <w:spacing w:after="0" w:line="240" w:lineRule="auto"/>
        <w:ind w:left="720" w:right="720"/>
      </w:pPr>
      <w:r w:rsidRPr="000874C9">
        <w:t>An undergraduate student remaining in attendance in regular sessions at any California State University campus, at any California community college, or any combination of California community colleges and campuses of The California State University may for purposes of meeting graduation requirements elect to meet the requirements in effect at the campus from which the student will graduate either</w:t>
      </w:r>
      <w:r>
        <w:t>:</w:t>
      </w:r>
    </w:p>
    <w:p w14:paraId="360CF151" w14:textId="77777777" w:rsidR="00C81C15" w:rsidRPr="000874C9" w:rsidRDefault="00C81C15" w:rsidP="00C81C15">
      <w:pPr>
        <w:spacing w:after="0" w:line="240" w:lineRule="auto"/>
        <w:ind w:left="720" w:right="720"/>
      </w:pPr>
      <w:r w:rsidRPr="000874C9">
        <w:t>(1) at the time the student began such attendance or</w:t>
      </w:r>
    </w:p>
    <w:p w14:paraId="29929116" w14:textId="77777777" w:rsidR="00C81C15" w:rsidRPr="000874C9" w:rsidRDefault="00C81C15" w:rsidP="00C81C15">
      <w:pPr>
        <w:spacing w:after="0" w:line="240" w:lineRule="auto"/>
        <w:ind w:left="720" w:right="720"/>
      </w:pPr>
      <w:r w:rsidRPr="000874C9">
        <w:t>(2) at the time of entrance to the campus, or</w:t>
      </w:r>
    </w:p>
    <w:p w14:paraId="76D4B89A" w14:textId="7DAB1D5A" w:rsidR="00C81C15" w:rsidRDefault="00C81C15" w:rsidP="00C81C15">
      <w:pPr>
        <w:spacing w:after="0" w:line="240" w:lineRule="auto"/>
        <w:ind w:left="720" w:right="720"/>
      </w:pPr>
      <w:r w:rsidRPr="000874C9">
        <w:t>(3) at the time of graduation</w:t>
      </w:r>
      <w:r>
        <w:t>;</w:t>
      </w:r>
    </w:p>
    <w:p w14:paraId="59BAF450" w14:textId="77777777" w:rsidR="00C81C15" w:rsidRDefault="00C81C15" w:rsidP="00C81C15">
      <w:pPr>
        <w:spacing w:after="0" w:line="240" w:lineRule="auto"/>
        <w:ind w:left="720" w:right="720"/>
      </w:pPr>
    </w:p>
    <w:p w14:paraId="743B9161" w14:textId="21819F08" w:rsidR="00C81C15" w:rsidRDefault="00C81C15" w:rsidP="00F46FD9">
      <w:r w:rsidRPr="00D4326E">
        <w:t>Whereas, Dual enrollment students</w:t>
      </w:r>
      <w:r w:rsidR="00B6177C">
        <w:t xml:space="preserve"> </w:t>
      </w:r>
      <w:r w:rsidRPr="00D4326E">
        <w:t xml:space="preserve">who start at a </w:t>
      </w:r>
      <w:r w:rsidR="00B6177C" w:rsidRPr="00D4326E">
        <w:t>California community college</w:t>
      </w:r>
      <w:r w:rsidRPr="00D4326E">
        <w:t xml:space="preserve"> may establish community college catalog rights </w:t>
      </w:r>
      <w:r w:rsidR="00B6177C">
        <w:t>in</w:t>
      </w:r>
      <w:r w:rsidRPr="00D4326E">
        <w:t xml:space="preserve"> the semester they first start taking courses at a </w:t>
      </w:r>
      <w:r w:rsidR="00B6177C" w:rsidRPr="00D4326E">
        <w:t>community college</w:t>
      </w:r>
      <w:r w:rsidRPr="00D4326E">
        <w:t>, but the California State University (CSU) will not honor those catalog rights</w:t>
      </w:r>
      <w:r w:rsidR="00B6177C">
        <w:t>,</w:t>
      </w:r>
      <w:r w:rsidRPr="00D4326E">
        <w:t xml:space="preserve"> as dual enrollment students may only establish catalog rights with the CSU after they graduate from high school</w:t>
      </w:r>
      <w:r w:rsidRPr="00D4326E">
        <w:rPr>
          <w:rStyle w:val="FootnoteReference"/>
        </w:rPr>
        <w:footnoteReference w:id="13"/>
      </w:r>
      <w:r w:rsidRPr="00D4326E">
        <w:t>; and</w:t>
      </w:r>
    </w:p>
    <w:p w14:paraId="2C451ACB" w14:textId="04BEA99C" w:rsidR="00C81C15" w:rsidRDefault="00C81C15" w:rsidP="00F46FD9">
      <w:r w:rsidRPr="00D4326E">
        <w:t xml:space="preserve">Whereas, With the implementation of the California General Education Transfer Curriculum (Cal-GETC), dual enrollment students graduating high school on or after Spring 2025 who completed courses to satisfy the California State University General Education Breadth or the Intersegmental General Education Transfer Curriculum will be considered new first-year students who are required to complete Cal-GETC and thus might have to either take additional courses or repeat courses to meet Cal-GETC requirements, which is inequitable; </w:t>
      </w:r>
    </w:p>
    <w:p w14:paraId="7221AE97" w14:textId="77777777" w:rsidR="00C81C15" w:rsidRDefault="00C81C15" w:rsidP="00F46FD9">
      <w:r>
        <w:t xml:space="preserve">Resolved, That the Academic Senate for California Community </w:t>
      </w:r>
      <w:r w:rsidRPr="009274D4">
        <w:t>Colleges advocate</w:t>
      </w:r>
      <w:r>
        <w:t xml:space="preserve"> to the Academic Senate of the California State University and the California State University Office of the Chancellor to allow dual enrollment students to establish catalog rights during a student’s first term of </w:t>
      </w:r>
      <w:proofErr w:type="spellStart"/>
      <w:r w:rsidRPr="0039620E">
        <w:t>transcriptable</w:t>
      </w:r>
      <w:proofErr w:type="spellEnd"/>
      <w:r w:rsidRPr="0039620E">
        <w:t xml:space="preserve"> </w:t>
      </w:r>
      <w:r>
        <w:t>attendance at a California community college.</w:t>
      </w:r>
    </w:p>
    <w:p w14:paraId="26A6949E" w14:textId="004E7CF0" w:rsidR="008E715A" w:rsidRDefault="00C81C15" w:rsidP="00F46FD9">
      <w:r w:rsidRPr="22ED6E80">
        <w:rPr>
          <w:b/>
          <w:bCs/>
        </w:rPr>
        <w:t xml:space="preserve">Contact: </w:t>
      </w:r>
      <w:r>
        <w:t xml:space="preserve">Mark Edward Osea, ASCCC Executive Committee </w:t>
      </w:r>
    </w:p>
    <w:p w14:paraId="23DC90D3" w14:textId="6A2B7816" w:rsidR="00C66E52" w:rsidRDefault="008E715A" w:rsidP="00F46FD9">
      <w:r>
        <w:t>MSU</w:t>
      </w:r>
      <w:bookmarkStart w:id="59" w:name="_Toc195691364"/>
      <w:bookmarkStart w:id="60" w:name="_Toc196496770"/>
      <w:bookmarkStart w:id="61" w:name="_Toc196500325"/>
    </w:p>
    <w:p w14:paraId="284565DE" w14:textId="3606B257" w:rsidR="00C66E52" w:rsidRPr="00C66E52" w:rsidRDefault="00C66E52" w:rsidP="00F46FD9">
      <w:pPr>
        <w:pStyle w:val="Heading2"/>
      </w:pPr>
      <w:bookmarkStart w:id="62" w:name="_Toc197090170"/>
      <w:r>
        <w:lastRenderedPageBreak/>
        <w:t xml:space="preserve">105.02 S25 </w:t>
      </w:r>
      <w:r w:rsidRPr="005F4405">
        <w:t>Maximizing Student Awareness: Promoting C</w:t>
      </w:r>
      <w:r>
        <w:t>redit for Prior Learning Awareness through</w:t>
      </w:r>
      <w:r w:rsidRPr="005F4405">
        <w:t xml:space="preserve"> Syllabus Statements</w:t>
      </w:r>
      <w:r>
        <w:t xml:space="preserve"> and Other Appropriate Institutional Communications</w:t>
      </w:r>
      <w:r w:rsidRPr="005F4405">
        <w:t xml:space="preserve"> at California</w:t>
      </w:r>
      <w:r>
        <w:t>’s</w:t>
      </w:r>
      <w:r w:rsidRPr="005F4405">
        <w:t xml:space="preserve"> Community Colleges</w:t>
      </w:r>
      <w:bookmarkEnd w:id="59"/>
      <w:bookmarkEnd w:id="60"/>
      <w:bookmarkEnd w:id="61"/>
      <w:bookmarkEnd w:id="62"/>
    </w:p>
    <w:p w14:paraId="1076EAEA" w14:textId="6929D3D6" w:rsidR="00C66E52" w:rsidRPr="005F4405" w:rsidRDefault="00C66E52" w:rsidP="00C66E52">
      <w:pPr>
        <w:rPr>
          <w:rFonts w:cstheme="minorHAnsi"/>
        </w:rPr>
      </w:pPr>
      <w:r w:rsidRPr="00CC24E8">
        <w:rPr>
          <w:rFonts w:cstheme="minorHAnsi"/>
          <w:bCs/>
        </w:rPr>
        <w:t>Whereas</w:t>
      </w:r>
      <w:r w:rsidRPr="005F4405">
        <w:rPr>
          <w:rFonts w:cstheme="minorHAnsi"/>
        </w:rPr>
        <w:t xml:space="preserve">, </w:t>
      </w:r>
      <w:r>
        <w:rPr>
          <w:rFonts w:cstheme="minorHAnsi"/>
        </w:rPr>
        <w:t>T</w:t>
      </w:r>
      <w:r w:rsidRPr="005F4405">
        <w:rPr>
          <w:rFonts w:cstheme="minorHAnsi"/>
        </w:rPr>
        <w:t>he California Community Colleges Chancellor's Office Vision 2030</w:t>
      </w:r>
      <w:r>
        <w:rPr>
          <w:rStyle w:val="FootnoteReference"/>
          <w:rFonts w:cstheme="minorHAnsi"/>
        </w:rPr>
        <w:footnoteReference w:id="14"/>
      </w:r>
      <w:r w:rsidRPr="005F4405">
        <w:rPr>
          <w:rFonts w:cstheme="minorHAnsi"/>
        </w:rPr>
        <w:t xml:space="preserve"> incorporates a commitment to proactively bring college education to prospective students, wherever they are, to ensure equity in access</w:t>
      </w:r>
      <w:r>
        <w:rPr>
          <w:rFonts w:cstheme="minorHAnsi"/>
        </w:rPr>
        <w:t>;</w:t>
      </w:r>
    </w:p>
    <w:p w14:paraId="3D1EDB3D" w14:textId="4107284F" w:rsidR="00C66E52" w:rsidRPr="005F4405" w:rsidRDefault="00C66E52" w:rsidP="00C66E52">
      <w:pPr>
        <w:rPr>
          <w:rFonts w:cstheme="minorHAnsi"/>
        </w:rPr>
      </w:pPr>
      <w:r w:rsidRPr="00CC24E8">
        <w:rPr>
          <w:rFonts w:cstheme="minorHAnsi"/>
          <w:bCs/>
        </w:rPr>
        <w:t>Whereas</w:t>
      </w:r>
      <w:r w:rsidRPr="005F4405">
        <w:rPr>
          <w:rFonts w:cstheme="minorHAnsi"/>
        </w:rPr>
        <w:t xml:space="preserve">, </w:t>
      </w:r>
      <w:r>
        <w:rPr>
          <w:rFonts w:cstheme="minorHAnsi"/>
        </w:rPr>
        <w:t>M</w:t>
      </w:r>
      <w:r w:rsidRPr="005F4405">
        <w:rPr>
          <w:rFonts w:cstheme="minorHAnsi"/>
        </w:rPr>
        <w:t xml:space="preserve">any students could benefit from greater awareness of the opportunities available through </w:t>
      </w:r>
      <w:r w:rsidR="00DB4277">
        <w:rPr>
          <w:rFonts w:cstheme="minorHAnsi"/>
        </w:rPr>
        <w:t>c</w:t>
      </w:r>
      <w:r w:rsidRPr="005F4405">
        <w:rPr>
          <w:rFonts w:cstheme="minorHAnsi"/>
        </w:rPr>
        <w:t xml:space="preserve">redit for </w:t>
      </w:r>
      <w:r w:rsidR="00DB4277">
        <w:rPr>
          <w:rFonts w:cstheme="minorHAnsi"/>
        </w:rPr>
        <w:t>p</w:t>
      </w:r>
      <w:r w:rsidRPr="005F4405">
        <w:rPr>
          <w:rFonts w:cstheme="minorHAnsi"/>
        </w:rPr>
        <w:t xml:space="preserve">rior </w:t>
      </w:r>
      <w:r w:rsidR="00DB4277">
        <w:rPr>
          <w:rFonts w:cstheme="minorHAnsi"/>
        </w:rPr>
        <w:t>l</w:t>
      </w:r>
      <w:r w:rsidRPr="005F4405">
        <w:rPr>
          <w:rFonts w:cstheme="minorHAnsi"/>
        </w:rPr>
        <w:t>earning</w:t>
      </w:r>
      <w:r w:rsidR="00DB4277">
        <w:rPr>
          <w:rFonts w:cstheme="minorHAnsi"/>
        </w:rPr>
        <w:t xml:space="preserve"> (CPL)</w:t>
      </w:r>
      <w:r w:rsidRPr="005F4405">
        <w:rPr>
          <w:rFonts w:cstheme="minorHAnsi"/>
        </w:rPr>
        <w:t>, particularly working adults and veterans who may earn college credit for knowledge gained outside of a traditional academic environment</w:t>
      </w:r>
      <w:r>
        <w:rPr>
          <w:rFonts w:cstheme="minorHAnsi"/>
        </w:rPr>
        <w:t>; and</w:t>
      </w:r>
    </w:p>
    <w:p w14:paraId="63CD90E5" w14:textId="56ABAA55" w:rsidR="00C66E52" w:rsidRPr="005F4405" w:rsidRDefault="00C66E52" w:rsidP="00C66E52">
      <w:pPr>
        <w:rPr>
          <w:rFonts w:cstheme="minorHAnsi"/>
        </w:rPr>
      </w:pPr>
      <w:r w:rsidRPr="00CC24E8">
        <w:rPr>
          <w:rFonts w:cstheme="minorHAnsi"/>
          <w:bCs/>
        </w:rPr>
        <w:t>Whereas</w:t>
      </w:r>
      <w:r w:rsidRPr="00CC24E8">
        <w:rPr>
          <w:rFonts w:cstheme="minorHAnsi"/>
        </w:rPr>
        <w:t>,</w:t>
      </w:r>
      <w:r w:rsidRPr="005F4405">
        <w:rPr>
          <w:rFonts w:cstheme="minorHAnsi"/>
        </w:rPr>
        <w:t xml:space="preserve"> </w:t>
      </w:r>
      <w:r>
        <w:rPr>
          <w:rFonts w:cstheme="minorHAnsi"/>
        </w:rPr>
        <w:t>S</w:t>
      </w:r>
      <w:r w:rsidRPr="005F4405">
        <w:rPr>
          <w:rFonts w:cstheme="minorHAnsi"/>
        </w:rPr>
        <w:t xml:space="preserve">everal colleges have found success with the inclusion of a CPL </w:t>
      </w:r>
      <w:r w:rsidR="00242DB4">
        <w:rPr>
          <w:rFonts w:cstheme="minorHAnsi"/>
        </w:rPr>
        <w:t>s</w:t>
      </w:r>
      <w:r w:rsidRPr="005F4405">
        <w:rPr>
          <w:rFonts w:cstheme="minorHAnsi"/>
        </w:rPr>
        <w:t xml:space="preserve">yllabus </w:t>
      </w:r>
      <w:r w:rsidR="00242DB4">
        <w:rPr>
          <w:rFonts w:cstheme="minorHAnsi"/>
        </w:rPr>
        <w:t>s</w:t>
      </w:r>
      <w:r w:rsidRPr="005F4405">
        <w:rPr>
          <w:rFonts w:cstheme="minorHAnsi"/>
        </w:rPr>
        <w:t>tatement in course syllabi to promote awareness of CPL opportunities and to inform students of this pathway to accelerate their educational goals</w:t>
      </w:r>
      <w:r>
        <w:rPr>
          <w:rFonts w:cstheme="minorHAnsi"/>
        </w:rPr>
        <w:t>;</w:t>
      </w:r>
    </w:p>
    <w:p w14:paraId="603C83F2" w14:textId="12B25A98" w:rsidR="00C66E52" w:rsidRPr="005F4405" w:rsidRDefault="00C66E52" w:rsidP="00C66E52">
      <w:pPr>
        <w:rPr>
          <w:rFonts w:cstheme="minorHAnsi"/>
        </w:rPr>
      </w:pPr>
      <w:r w:rsidRPr="00CC24E8">
        <w:rPr>
          <w:rFonts w:cstheme="minorHAnsi"/>
          <w:bCs/>
        </w:rPr>
        <w:t>Resolved</w:t>
      </w:r>
      <w:r w:rsidRPr="005F4405">
        <w:rPr>
          <w:rFonts w:cstheme="minorHAnsi"/>
        </w:rPr>
        <w:t xml:space="preserve">, </w:t>
      </w:r>
      <w:r>
        <w:rPr>
          <w:rFonts w:cstheme="minorHAnsi"/>
        </w:rPr>
        <w:t>That t</w:t>
      </w:r>
      <w:r w:rsidRPr="005F4405">
        <w:rPr>
          <w:rFonts w:cstheme="minorHAnsi"/>
        </w:rPr>
        <w:t xml:space="preserve">he Academic Senate for California Community Colleges </w:t>
      </w:r>
      <w:r>
        <w:t>develop and provide an optional sample syllabus statement for colleges and districts to adopt in order to help maximize student awareness of</w:t>
      </w:r>
      <w:r w:rsidR="00242DB4">
        <w:t xml:space="preserve"> </w:t>
      </w:r>
      <w:r>
        <w:t>Credit for Prior Learning opportunities by Spring 2026</w:t>
      </w:r>
      <w:r>
        <w:rPr>
          <w:rFonts w:cstheme="minorHAnsi"/>
        </w:rPr>
        <w:t>; and</w:t>
      </w:r>
    </w:p>
    <w:p w14:paraId="0C9EC431" w14:textId="3D84649C" w:rsidR="00C66E52" w:rsidRPr="005F4405" w:rsidRDefault="00C66E52" w:rsidP="00C66E52">
      <w:pPr>
        <w:rPr>
          <w:rFonts w:cstheme="minorHAnsi"/>
        </w:rPr>
      </w:pPr>
      <w:r w:rsidRPr="00BC1C36">
        <w:rPr>
          <w:rFonts w:cstheme="minorHAnsi"/>
          <w:bCs/>
        </w:rPr>
        <w:t>Resolved</w:t>
      </w:r>
      <w:r w:rsidRPr="00BC1C36">
        <w:rPr>
          <w:rFonts w:cstheme="minorHAnsi"/>
        </w:rPr>
        <w:t xml:space="preserve">, That the Academic Senate for California Community Colleges </w:t>
      </w:r>
      <w:r w:rsidRPr="00BC1C36">
        <w:t xml:space="preserve">encourage local and district academic senates to </w:t>
      </w:r>
      <w:r>
        <w:t>collaborate with</w:t>
      </w:r>
      <w:r w:rsidRPr="00BC1C36">
        <w:t xml:space="preserve"> campus leadership to develop </w:t>
      </w:r>
      <w:r w:rsidRPr="00996C5F">
        <w:rPr>
          <w:rFonts w:cstheme="minorHAnsi"/>
        </w:rPr>
        <w:t xml:space="preserve">and implement strategies for disseminating </w:t>
      </w:r>
      <w:r>
        <w:rPr>
          <w:rFonts w:cstheme="minorHAnsi"/>
        </w:rPr>
        <w:t>Credit for Prior Learning</w:t>
      </w:r>
      <w:r w:rsidRPr="00996C5F">
        <w:rPr>
          <w:rFonts w:cstheme="minorHAnsi"/>
        </w:rPr>
        <w:t xml:space="preserve"> information across</w:t>
      </w:r>
      <w:r w:rsidRPr="00BC1C36">
        <w:t xml:space="preserve"> various appropriate institutional communications and student-facing materials to enhance awareness and understanding of CPL and its benefits.</w:t>
      </w:r>
      <w:r w:rsidRPr="005F4405" w:rsidDel="00BC1C36">
        <w:rPr>
          <w:rFonts w:cstheme="minorHAnsi"/>
        </w:rPr>
        <w:t xml:space="preserve"> </w:t>
      </w:r>
    </w:p>
    <w:p w14:paraId="41D94725" w14:textId="77777777" w:rsidR="00C66E52" w:rsidRDefault="00C66E52" w:rsidP="00C66E52">
      <w:r w:rsidRPr="005F4405">
        <w:rPr>
          <w:rFonts w:cstheme="minorHAnsi"/>
        </w:rPr>
        <w:t>Contact: Dr. Sigrid Williams, Norco College</w:t>
      </w:r>
    </w:p>
    <w:p w14:paraId="53FAA71A" w14:textId="6E3F1EFD" w:rsidR="002C0D34" w:rsidRPr="00F46FD9" w:rsidRDefault="00C66E52" w:rsidP="004761F2">
      <w:r>
        <w:t>MS</w:t>
      </w:r>
      <w:r w:rsidR="00A1532F">
        <w:t>C</w:t>
      </w:r>
    </w:p>
    <w:p w14:paraId="5778A56E" w14:textId="0694B824" w:rsidR="00F37722" w:rsidRPr="00F46FD9" w:rsidRDefault="00F37722" w:rsidP="00F46FD9">
      <w:pPr>
        <w:pStyle w:val="Heading1"/>
      </w:pPr>
      <w:bookmarkStart w:id="63" w:name="_Toc197090171"/>
      <w:r>
        <w:t xml:space="preserve">106 </w:t>
      </w:r>
      <w:r w:rsidR="00601F0A">
        <w:t>GOVERNANCE STRUCTURES</w:t>
      </w:r>
      <w:bookmarkEnd w:id="63"/>
    </w:p>
    <w:p w14:paraId="34EB4F11" w14:textId="63C9D30C" w:rsidR="00996FBB" w:rsidRPr="00996FBB" w:rsidRDefault="00996FBB" w:rsidP="00F46FD9">
      <w:pPr>
        <w:pStyle w:val="Heading2"/>
      </w:pPr>
      <w:bookmarkStart w:id="64" w:name="_Toc197090172"/>
      <w:r>
        <w:t xml:space="preserve">106.01 S25 </w:t>
      </w:r>
      <w:r w:rsidRPr="005F4405">
        <w:t xml:space="preserve">Advocating for Inclusive Participation of Part-Time Faculty in California Community College </w:t>
      </w:r>
      <w:r>
        <w:t xml:space="preserve">Local </w:t>
      </w:r>
      <w:r w:rsidRPr="005F4405">
        <w:t>Academic Senates</w:t>
      </w:r>
      <w:bookmarkEnd w:id="64"/>
    </w:p>
    <w:p w14:paraId="03E58139" w14:textId="55051B67" w:rsidR="00996FBB" w:rsidRPr="003850B9" w:rsidRDefault="00996FBB" w:rsidP="00996FBB">
      <w:pPr>
        <w:rPr>
          <w:rFonts w:cstheme="minorHAnsi"/>
        </w:rPr>
      </w:pPr>
      <w:r w:rsidRPr="00996C5F">
        <w:rPr>
          <w:rFonts w:cstheme="minorHAnsi"/>
          <w:bCs/>
        </w:rPr>
        <w:t>Whereas</w:t>
      </w:r>
      <w:r w:rsidRPr="009205E7">
        <w:rPr>
          <w:rFonts w:cstheme="minorHAnsi"/>
        </w:rPr>
        <w:t>, The California Community Colleges’ diversity, equity, inclusion</w:t>
      </w:r>
      <w:r w:rsidR="008502EC">
        <w:rPr>
          <w:rFonts w:cstheme="minorHAnsi"/>
        </w:rPr>
        <w:t>,</w:t>
      </w:r>
      <w:r w:rsidRPr="009205E7">
        <w:rPr>
          <w:rFonts w:cstheme="minorHAnsi"/>
        </w:rPr>
        <w:t xml:space="preserve"> and accessibility statement and the Academic Senate for California Community Colleges’ (ASCCC) inclusivity statement </w:t>
      </w:r>
      <w:r w:rsidR="008502EC">
        <w:rPr>
          <w:rFonts w:cstheme="minorHAnsi"/>
        </w:rPr>
        <w:t>demonstrate commitment</w:t>
      </w:r>
      <w:r w:rsidRPr="009205E7">
        <w:rPr>
          <w:rFonts w:cstheme="minorHAnsi"/>
        </w:rPr>
        <w:t xml:space="preserve"> to promoting inclusion, diversity, equity, antiracism</w:t>
      </w:r>
      <w:r w:rsidR="008502EC">
        <w:rPr>
          <w:rFonts w:cstheme="minorHAnsi"/>
        </w:rPr>
        <w:t>,</w:t>
      </w:r>
      <w:r w:rsidRPr="009205E7">
        <w:rPr>
          <w:rFonts w:cstheme="minorHAnsi"/>
        </w:rPr>
        <w:t xml:space="preserve"> and accessibility among all faculty members; </w:t>
      </w:r>
    </w:p>
    <w:p w14:paraId="169B26B9" w14:textId="3FF91E67" w:rsidR="00996FBB" w:rsidRPr="009D695C" w:rsidRDefault="00996FBB" w:rsidP="00996FBB">
      <w:pPr>
        <w:rPr>
          <w:rFonts w:cstheme="minorHAnsi"/>
        </w:rPr>
      </w:pPr>
      <w:r w:rsidRPr="00996C5F">
        <w:rPr>
          <w:rFonts w:cstheme="minorHAnsi"/>
          <w:bCs/>
        </w:rPr>
        <w:t>Whereas</w:t>
      </w:r>
      <w:r w:rsidRPr="009205E7">
        <w:rPr>
          <w:rFonts w:cstheme="minorHAnsi"/>
        </w:rPr>
        <w:t xml:space="preserve">, Part-time faculty are integral to the mission, vision, and values of the </w:t>
      </w:r>
      <w:r w:rsidR="008502EC">
        <w:rPr>
          <w:rFonts w:cstheme="minorHAnsi"/>
        </w:rPr>
        <w:t>ASCCC,</w:t>
      </w:r>
      <w:r w:rsidRPr="009205E7">
        <w:rPr>
          <w:rFonts w:cstheme="minorHAnsi"/>
        </w:rPr>
        <w:t xml:space="preserve"> and the inclusion of part-time faculty in college participatory governance structures is essential for fostering a collaborative and effective academic community;</w:t>
      </w:r>
    </w:p>
    <w:p w14:paraId="592957D4" w14:textId="2D1D3DBB" w:rsidR="00996FBB" w:rsidRPr="009205E7" w:rsidRDefault="00996FBB" w:rsidP="00996FBB">
      <w:pPr>
        <w:rPr>
          <w:rFonts w:cstheme="minorHAnsi"/>
        </w:rPr>
      </w:pPr>
      <w:r w:rsidRPr="00996C5F">
        <w:rPr>
          <w:rFonts w:cstheme="minorHAnsi"/>
          <w:bCs/>
        </w:rPr>
        <w:lastRenderedPageBreak/>
        <w:t>Whereas</w:t>
      </w:r>
      <w:r w:rsidRPr="009205E7">
        <w:rPr>
          <w:rFonts w:cstheme="minorHAnsi"/>
        </w:rPr>
        <w:t xml:space="preserve">, Previous resolutions and resources </w:t>
      </w:r>
      <w:r w:rsidR="00BA35DD">
        <w:rPr>
          <w:rFonts w:cstheme="minorHAnsi"/>
        </w:rPr>
        <w:t xml:space="preserve">produced </w:t>
      </w:r>
      <w:r w:rsidRPr="009205E7">
        <w:rPr>
          <w:rFonts w:cstheme="minorHAnsi"/>
        </w:rPr>
        <w:t xml:space="preserve">by the </w:t>
      </w:r>
      <w:r w:rsidR="00BA35DD">
        <w:rPr>
          <w:rFonts w:cstheme="minorHAnsi"/>
        </w:rPr>
        <w:t xml:space="preserve">ASCCC—including resolutions 1.02 F20, </w:t>
      </w:r>
      <w:r w:rsidRPr="009205E7">
        <w:rPr>
          <w:rFonts w:cstheme="minorHAnsi"/>
        </w:rPr>
        <w:t xml:space="preserve"> </w:t>
      </w:r>
      <w:r w:rsidR="00BA35DD">
        <w:rPr>
          <w:rFonts w:cstheme="minorHAnsi"/>
        </w:rPr>
        <w:t>19.01 S21, 17.02 S22, 1.01 S23, and 17.02 S23—</w:t>
      </w:r>
      <w:r w:rsidRPr="009205E7">
        <w:rPr>
          <w:rFonts w:cstheme="minorHAnsi"/>
        </w:rPr>
        <w:t>have emphasized the importance of equity for part-time faculty</w:t>
      </w:r>
      <w:r w:rsidR="00BA35DD">
        <w:rPr>
          <w:rFonts w:cstheme="minorHAnsi"/>
        </w:rPr>
        <w:t xml:space="preserve"> and</w:t>
      </w:r>
      <w:r w:rsidRPr="009205E7">
        <w:rPr>
          <w:rFonts w:cstheme="minorHAnsi"/>
        </w:rPr>
        <w:t xml:space="preserve"> recognized the significant contributions of part-time faculty in the educational environment, thus aligning with a strong commitment to create an </w:t>
      </w:r>
      <w:r w:rsidRPr="009F1E81">
        <w:rPr>
          <w:rFonts w:cstheme="minorHAnsi"/>
        </w:rPr>
        <w:t>environment where all voices are heard and all faculty members can contribute to decision-making processes</w:t>
      </w:r>
      <w:r w:rsidRPr="009205E7">
        <w:rPr>
          <w:rFonts w:cstheme="minorHAnsi"/>
        </w:rPr>
        <w:t>; and</w:t>
      </w:r>
    </w:p>
    <w:p w14:paraId="221B4AF1" w14:textId="6DCB935B" w:rsidR="00996FBB" w:rsidRPr="003850B9" w:rsidRDefault="00996FBB" w:rsidP="00996FBB">
      <w:pPr>
        <w:rPr>
          <w:rFonts w:cstheme="minorHAnsi"/>
        </w:rPr>
      </w:pPr>
      <w:r w:rsidRPr="00996C5F">
        <w:rPr>
          <w:rFonts w:cstheme="minorHAnsi"/>
          <w:bCs/>
        </w:rPr>
        <w:t>Whereas</w:t>
      </w:r>
      <w:r w:rsidRPr="009205E7">
        <w:rPr>
          <w:rFonts w:cstheme="minorHAnsi"/>
        </w:rPr>
        <w:t xml:space="preserve">, Current Title 5 </w:t>
      </w:r>
      <w:r w:rsidR="00BA35DD">
        <w:rPr>
          <w:rFonts w:cstheme="minorHAnsi"/>
        </w:rPr>
        <w:t>§</w:t>
      </w:r>
      <w:r w:rsidRPr="009205E7">
        <w:rPr>
          <w:rFonts w:cstheme="minorHAnsi"/>
        </w:rPr>
        <w:t>53202 (d)</w:t>
      </w:r>
      <w:r w:rsidRPr="009205E7">
        <w:rPr>
          <w:rStyle w:val="FootnoteReference"/>
          <w:rFonts w:cstheme="minorHAnsi"/>
        </w:rPr>
        <w:footnoteReference w:id="15"/>
      </w:r>
      <w:r w:rsidRPr="009205E7">
        <w:rPr>
          <w:rFonts w:cstheme="minorHAnsi"/>
        </w:rPr>
        <w:t xml:space="preserve"> reads</w:t>
      </w:r>
      <w:r w:rsidR="00BA35DD">
        <w:rPr>
          <w:rFonts w:cstheme="minorHAnsi"/>
        </w:rPr>
        <w:t>,</w:t>
      </w:r>
      <w:r w:rsidRPr="009205E7">
        <w:rPr>
          <w:rFonts w:cstheme="minorHAnsi"/>
        </w:rPr>
        <w:t xml:space="preserve"> “The full-time faculty may provide for the membership and participation of part-time faculty members in the academic senate</w:t>
      </w:r>
      <w:r w:rsidR="00BA35DD">
        <w:rPr>
          <w:rFonts w:cstheme="minorHAnsi"/>
        </w:rPr>
        <w:t>,</w:t>
      </w:r>
      <w:r w:rsidRPr="009205E7">
        <w:rPr>
          <w:rFonts w:cstheme="minorHAnsi"/>
        </w:rPr>
        <w:t>” thus granting full-time faculty the discretion to include part-time faculty in membership and participation in the local a</w:t>
      </w:r>
      <w:r w:rsidRPr="009F1E81">
        <w:rPr>
          <w:rFonts w:cstheme="minorHAnsi"/>
        </w:rPr>
        <w:t>cademic senates through the use of the term "may," which could inadvertently contribute to inequities and lack of representation;</w:t>
      </w:r>
    </w:p>
    <w:p w14:paraId="0C16BABF" w14:textId="07370174" w:rsidR="00996FBB" w:rsidRPr="009205E7" w:rsidRDefault="00996FBB" w:rsidP="00996FBB">
      <w:pPr>
        <w:rPr>
          <w:rFonts w:cstheme="minorHAnsi"/>
        </w:rPr>
      </w:pPr>
      <w:r w:rsidRPr="00996C5F">
        <w:rPr>
          <w:rFonts w:cstheme="minorHAnsi"/>
          <w:bCs/>
        </w:rPr>
        <w:t>Resolved</w:t>
      </w:r>
      <w:r w:rsidRPr="009205E7">
        <w:rPr>
          <w:rFonts w:cstheme="minorHAnsi"/>
        </w:rPr>
        <w:t>, That the Academic Senate for California Community Colleges research the potential effects that</w:t>
      </w:r>
      <w:r w:rsidR="00BA35DD" w:rsidRPr="009205E7">
        <w:rPr>
          <w:rFonts w:cstheme="minorHAnsi"/>
        </w:rPr>
        <w:t xml:space="preserve"> </w:t>
      </w:r>
      <w:r w:rsidRPr="009205E7">
        <w:rPr>
          <w:rFonts w:cstheme="minorHAnsi"/>
        </w:rPr>
        <w:t xml:space="preserve">a </w:t>
      </w:r>
      <w:r w:rsidRPr="009D695C">
        <w:rPr>
          <w:rFonts w:cstheme="minorHAnsi"/>
        </w:rPr>
        <w:t xml:space="preserve">change in Title 5 </w:t>
      </w:r>
      <w:r w:rsidR="00BA35DD">
        <w:rPr>
          <w:rFonts w:cstheme="minorHAnsi"/>
        </w:rPr>
        <w:t>§</w:t>
      </w:r>
      <w:r w:rsidRPr="009D695C">
        <w:rPr>
          <w:rFonts w:cstheme="minorHAnsi"/>
        </w:rPr>
        <w:t>53202 (d) language from "may" to "shall</w:t>
      </w:r>
      <w:r w:rsidR="00BA35DD">
        <w:rPr>
          <w:rFonts w:cstheme="minorHAnsi"/>
        </w:rPr>
        <w:t>,</w:t>
      </w:r>
      <w:r w:rsidRPr="009D695C">
        <w:rPr>
          <w:rFonts w:cstheme="minorHAnsi"/>
        </w:rPr>
        <w:t xml:space="preserve">" </w:t>
      </w:r>
      <w:r w:rsidR="00BA35DD">
        <w:rPr>
          <w:rFonts w:cstheme="minorHAnsi"/>
        </w:rPr>
        <w:t>which would</w:t>
      </w:r>
      <w:r w:rsidRPr="009D695C">
        <w:rPr>
          <w:rFonts w:cstheme="minorHAnsi"/>
        </w:rPr>
        <w:t xml:space="preserve"> require full-time faculty to include part-time faculty members in membership and participation in </w:t>
      </w:r>
      <w:r>
        <w:rPr>
          <w:rFonts w:cstheme="minorHAnsi"/>
        </w:rPr>
        <w:t>local a</w:t>
      </w:r>
      <w:r w:rsidRPr="009D1A07">
        <w:rPr>
          <w:rFonts w:cstheme="minorHAnsi"/>
        </w:rPr>
        <w:t>cademic</w:t>
      </w:r>
      <w:r w:rsidRPr="009205E7">
        <w:rPr>
          <w:rFonts w:cstheme="minorHAnsi"/>
        </w:rPr>
        <w:t xml:space="preserve"> </w:t>
      </w:r>
      <w:r>
        <w:rPr>
          <w:rFonts w:cstheme="minorHAnsi"/>
        </w:rPr>
        <w:t>s</w:t>
      </w:r>
      <w:r w:rsidRPr="009205E7">
        <w:rPr>
          <w:rFonts w:cstheme="minorHAnsi"/>
        </w:rPr>
        <w:t>enates</w:t>
      </w:r>
      <w:r w:rsidR="00BA35DD">
        <w:rPr>
          <w:rFonts w:cstheme="minorHAnsi"/>
        </w:rPr>
        <w:t>,</w:t>
      </w:r>
      <w:r w:rsidRPr="009205E7">
        <w:rPr>
          <w:rFonts w:cstheme="minorHAnsi"/>
        </w:rPr>
        <w:t xml:space="preserve"> may have on other areas of Title 5</w:t>
      </w:r>
      <w:r>
        <w:rPr>
          <w:rFonts w:cstheme="minorHAnsi"/>
        </w:rPr>
        <w:t xml:space="preserve"> by Fall 2026</w:t>
      </w:r>
      <w:r w:rsidRPr="009205E7">
        <w:rPr>
          <w:rFonts w:cstheme="minorHAnsi"/>
        </w:rPr>
        <w:t>;</w:t>
      </w:r>
      <w:r>
        <w:rPr>
          <w:rFonts w:cstheme="minorHAnsi"/>
        </w:rPr>
        <w:t xml:space="preserve"> and</w:t>
      </w:r>
    </w:p>
    <w:p w14:paraId="5F06F7E5" w14:textId="412F8746" w:rsidR="00996FBB" w:rsidRPr="005F4405" w:rsidRDefault="00996FBB" w:rsidP="00996FBB">
      <w:pPr>
        <w:rPr>
          <w:rFonts w:cstheme="minorHAnsi"/>
        </w:rPr>
      </w:pPr>
      <w:r w:rsidRPr="00996C5F">
        <w:rPr>
          <w:rFonts w:cstheme="minorHAnsi"/>
          <w:bCs/>
        </w:rPr>
        <w:t>Resolved</w:t>
      </w:r>
      <w:r w:rsidRPr="009205E7">
        <w:rPr>
          <w:rFonts w:cstheme="minorHAnsi"/>
        </w:rPr>
        <w:t>, That the</w:t>
      </w:r>
      <w:r w:rsidRPr="005F4405">
        <w:rPr>
          <w:rFonts w:cstheme="minorHAnsi"/>
        </w:rPr>
        <w:t xml:space="preserve"> Academic Senate for California Community Colleges</w:t>
      </w:r>
      <w:r w:rsidR="00BA35DD">
        <w:rPr>
          <w:rFonts w:cstheme="minorHAnsi"/>
        </w:rPr>
        <w:t>,</w:t>
      </w:r>
      <w:r w:rsidRPr="005F4405">
        <w:rPr>
          <w:rFonts w:cstheme="minorHAnsi"/>
        </w:rPr>
        <w:t xml:space="preserve"> upon completing research into the potential consequences of a language change in Title 5 </w:t>
      </w:r>
      <w:r w:rsidR="00BA35DD">
        <w:rPr>
          <w:rFonts w:cstheme="minorHAnsi"/>
        </w:rPr>
        <w:t>§</w:t>
      </w:r>
      <w:r w:rsidRPr="005F4405">
        <w:rPr>
          <w:rFonts w:cstheme="minorHAnsi"/>
        </w:rPr>
        <w:t>53202 (d) from “may” to “shall”</w:t>
      </w:r>
      <w:r w:rsidR="00BA35DD">
        <w:rPr>
          <w:rFonts w:cstheme="minorHAnsi"/>
        </w:rPr>
        <w:t xml:space="preserve"> and</w:t>
      </w:r>
      <w:r w:rsidRPr="005F4405">
        <w:rPr>
          <w:rFonts w:cstheme="minorHAnsi"/>
        </w:rPr>
        <w:t xml:space="preserve"> bar</w:t>
      </w:r>
      <w:r>
        <w:rPr>
          <w:rFonts w:cstheme="minorHAnsi"/>
        </w:rPr>
        <w:t>r</w:t>
      </w:r>
      <w:r w:rsidRPr="005F4405">
        <w:rPr>
          <w:rFonts w:cstheme="minorHAnsi"/>
        </w:rPr>
        <w:t xml:space="preserve">ing </w:t>
      </w:r>
      <w:r>
        <w:rPr>
          <w:rFonts w:cstheme="minorHAnsi"/>
        </w:rPr>
        <w:t xml:space="preserve">any </w:t>
      </w:r>
      <w:r w:rsidRPr="005F4405">
        <w:rPr>
          <w:rFonts w:cstheme="minorHAnsi"/>
        </w:rPr>
        <w:t xml:space="preserve">negative effects on other areas of Title 5, work with the California Community Colleges Chancellor’s Office to update Title 5 </w:t>
      </w:r>
      <w:r w:rsidR="00BA35DD">
        <w:rPr>
          <w:rFonts w:cstheme="minorHAnsi"/>
        </w:rPr>
        <w:t>§</w:t>
      </w:r>
      <w:r w:rsidRPr="005F4405">
        <w:rPr>
          <w:rFonts w:cstheme="minorHAnsi"/>
        </w:rPr>
        <w:t xml:space="preserve">53202 (d) to provide true equity and inclusion in </w:t>
      </w:r>
      <w:r>
        <w:rPr>
          <w:rFonts w:cstheme="minorHAnsi"/>
        </w:rPr>
        <w:t xml:space="preserve">local college </w:t>
      </w:r>
      <w:r w:rsidRPr="005F4405">
        <w:rPr>
          <w:rFonts w:cstheme="minorHAnsi"/>
        </w:rPr>
        <w:t>governance to all faculty in the California Community Colleges system.</w:t>
      </w:r>
    </w:p>
    <w:p w14:paraId="5C5D2D07" w14:textId="5A89B0A4" w:rsidR="004B4E08" w:rsidRPr="00996FBB" w:rsidRDefault="00996FBB" w:rsidP="004761F2">
      <w:r w:rsidRPr="005F4405">
        <w:rPr>
          <w:rFonts w:cstheme="minorHAnsi"/>
        </w:rPr>
        <w:t>Contact: Lindsay Weiler, Riverside City College</w:t>
      </w:r>
    </w:p>
    <w:p w14:paraId="56138CDA" w14:textId="2499F98E" w:rsidR="0004452A" w:rsidRDefault="00AB197A" w:rsidP="0004452A">
      <w:pPr>
        <w:rPr>
          <w:b/>
          <w:bCs/>
          <w:sz w:val="28"/>
          <w:szCs w:val="28"/>
        </w:rPr>
      </w:pPr>
      <w:r>
        <w:t>MSC</w:t>
      </w:r>
    </w:p>
    <w:p w14:paraId="014BFB31" w14:textId="3756149C" w:rsidR="0004452A" w:rsidRPr="00B710E8" w:rsidRDefault="00007E3C" w:rsidP="00EE59C8">
      <w:pPr>
        <w:rPr>
          <w:bCs/>
          <w:szCs w:val="28"/>
        </w:rPr>
      </w:pPr>
      <w:r w:rsidRPr="00EE59C8">
        <w:rPr>
          <w:b/>
          <w:bCs/>
          <w:sz w:val="28"/>
          <w:szCs w:val="28"/>
        </w:rPr>
        <w:t xml:space="preserve">107 </w:t>
      </w:r>
      <w:r w:rsidR="00DC3E70" w:rsidRPr="00EE59C8">
        <w:rPr>
          <w:b/>
          <w:bCs/>
          <w:sz w:val="28"/>
          <w:szCs w:val="28"/>
        </w:rPr>
        <w:t>ACCREDITATION</w:t>
      </w:r>
    </w:p>
    <w:p w14:paraId="2DFB1F91" w14:textId="7C6185B3" w:rsidR="0004452A" w:rsidRPr="00B710E8" w:rsidRDefault="00234987" w:rsidP="00EE59C8">
      <w:pPr>
        <w:rPr>
          <w:bCs/>
          <w:szCs w:val="28"/>
        </w:rPr>
      </w:pPr>
      <w:r w:rsidRPr="00EE59C8">
        <w:rPr>
          <w:b/>
          <w:bCs/>
          <w:sz w:val="28"/>
          <w:szCs w:val="28"/>
        </w:rPr>
        <w:t xml:space="preserve">108 </w:t>
      </w:r>
      <w:r w:rsidR="00153C64" w:rsidRPr="00EE59C8">
        <w:rPr>
          <w:b/>
          <w:bCs/>
          <w:sz w:val="28"/>
          <w:szCs w:val="28"/>
        </w:rPr>
        <w:t>PROFESSIONAL DEVELOPMENT</w:t>
      </w:r>
    </w:p>
    <w:p w14:paraId="297C9F36" w14:textId="48EB8A52" w:rsidR="0004452A" w:rsidRPr="00B710E8" w:rsidRDefault="00E11589" w:rsidP="00EE59C8">
      <w:pPr>
        <w:rPr>
          <w:bCs/>
          <w:szCs w:val="28"/>
        </w:rPr>
      </w:pPr>
      <w:r w:rsidRPr="00EE59C8">
        <w:rPr>
          <w:b/>
          <w:bCs/>
          <w:sz w:val="28"/>
          <w:szCs w:val="28"/>
        </w:rPr>
        <w:t>109 PROGRAM REVIEW</w:t>
      </w:r>
    </w:p>
    <w:p w14:paraId="117B2BE3" w14:textId="76DA8E49" w:rsidR="006749FA" w:rsidRPr="00B710E8" w:rsidRDefault="00E11589" w:rsidP="00EE59C8">
      <w:pPr>
        <w:rPr>
          <w:bCs/>
          <w:szCs w:val="28"/>
        </w:rPr>
      </w:pPr>
      <w:r w:rsidRPr="00EE59C8">
        <w:rPr>
          <w:b/>
          <w:bCs/>
          <w:sz w:val="28"/>
          <w:szCs w:val="28"/>
        </w:rPr>
        <w:t xml:space="preserve">110 </w:t>
      </w:r>
      <w:r w:rsidR="00312E91" w:rsidRPr="00EE59C8">
        <w:rPr>
          <w:b/>
          <w:bCs/>
          <w:sz w:val="28"/>
          <w:szCs w:val="28"/>
        </w:rPr>
        <w:t>INSTITUTIONAL PLANNING AND BUDGET DEVELOPMENT</w:t>
      </w:r>
    </w:p>
    <w:p w14:paraId="66EAE600" w14:textId="3991763D" w:rsidR="001A6DEA" w:rsidRPr="001A6DEA" w:rsidRDefault="001A6DEA" w:rsidP="00F46FD9">
      <w:pPr>
        <w:pStyle w:val="Heading1"/>
      </w:pPr>
      <w:bookmarkStart w:id="65" w:name="_Toc162362527"/>
      <w:bookmarkStart w:id="66" w:name="_Toc197090173"/>
      <w:r w:rsidRPr="001A6DEA">
        <w:t xml:space="preserve">111 </w:t>
      </w:r>
      <w:bookmarkEnd w:id="65"/>
      <w:r w:rsidR="00FF14AB">
        <w:t>ACADEMIC SENATE FOR CALIFORNIA COMMUNITY COLLEGES</w:t>
      </w:r>
      <w:bookmarkEnd w:id="66"/>
    </w:p>
    <w:p w14:paraId="7C63FA23" w14:textId="1C71D568" w:rsidR="003B0730" w:rsidRPr="003B0730" w:rsidRDefault="003B0730" w:rsidP="00F46FD9">
      <w:pPr>
        <w:pStyle w:val="Heading2"/>
      </w:pPr>
      <w:bookmarkStart w:id="67" w:name="_Toc197090174"/>
      <w:r>
        <w:t>111.01 S25 Update the ASCCC Document, “Standards of Practice for California Community College Counseling Faculty and Programs”</w:t>
      </w:r>
      <w:bookmarkEnd w:id="67"/>
    </w:p>
    <w:p w14:paraId="7689EA20" w14:textId="467F35F6" w:rsidR="003B0730" w:rsidRDefault="003B0730" w:rsidP="003B0730">
      <w:r>
        <w:t xml:space="preserve">Whereas, The document </w:t>
      </w:r>
      <w:r w:rsidRPr="00EE59C8">
        <w:rPr>
          <w:i/>
          <w:iCs/>
        </w:rPr>
        <w:t>Standards of Practice for California Community College Counseling Faculty and Programs</w:t>
      </w:r>
      <w:r>
        <w:t xml:space="preserve"> was originally adopted by the delegates </w:t>
      </w:r>
      <w:r w:rsidR="00474ACC">
        <w:t>to</w:t>
      </w:r>
      <w:r>
        <w:t xml:space="preserve"> the 1997 Academic Senate for </w:t>
      </w:r>
      <w:r>
        <w:lastRenderedPageBreak/>
        <w:t>California Community Colleges Spring Plenary Session</w:t>
      </w:r>
      <w:r w:rsidR="00474ACC">
        <w:t>,</w:t>
      </w:r>
      <w:r>
        <w:t xml:space="preserve"> revised and adopted by the delegates at the 2008 Fall Plenary Session, and has not been updated since; </w:t>
      </w:r>
    </w:p>
    <w:p w14:paraId="23E7BC85" w14:textId="2C3BBBD5" w:rsidR="003B0730" w:rsidRDefault="003B0730" w:rsidP="003B0730">
      <w:r>
        <w:t xml:space="preserve">Whereas, </w:t>
      </w:r>
      <w:r w:rsidR="00474ACC">
        <w:t>T</w:t>
      </w:r>
      <w:r>
        <w:t>he document</w:t>
      </w:r>
      <w:r w:rsidR="00474ACC">
        <w:t xml:space="preserve"> itself recommends that it</w:t>
      </w:r>
      <w:r>
        <w:t xml:space="preserve"> be reviewed at least every six years</w:t>
      </w:r>
      <w:r>
        <w:rPr>
          <w:rStyle w:val="FootnoteReference"/>
        </w:rPr>
        <w:footnoteReference w:id="16"/>
      </w:r>
      <w:r>
        <w:t>; and</w:t>
      </w:r>
    </w:p>
    <w:p w14:paraId="0C380D91" w14:textId="540B6162" w:rsidR="003B0730" w:rsidRDefault="003B0730" w:rsidP="003B0730">
      <w:r>
        <w:t xml:space="preserve">Whereas, Since the </w:t>
      </w:r>
      <w:r w:rsidR="00474ACC">
        <w:t xml:space="preserve">last </w:t>
      </w:r>
      <w:r>
        <w:t xml:space="preserve">update of the document, new technologies, implementation of </w:t>
      </w:r>
      <w:r w:rsidR="00474ACC">
        <w:t>g</w:t>
      </w:r>
      <w:r>
        <w:t xml:space="preserve">uided </w:t>
      </w:r>
      <w:r w:rsidR="00474ACC">
        <w:t>p</w:t>
      </w:r>
      <w:r>
        <w:t>athways, and the COVID-19 pandemic ha</w:t>
      </w:r>
      <w:r w:rsidR="00474ACC">
        <w:t>ve</w:t>
      </w:r>
      <w:r>
        <w:t xml:space="preserve"> necessitated that California community colleges re-envision how counseling services are offered; </w:t>
      </w:r>
    </w:p>
    <w:p w14:paraId="5D6D1F95" w14:textId="0E582A4C" w:rsidR="003B0730" w:rsidRDefault="003B0730" w:rsidP="003B0730">
      <w:r>
        <w:t xml:space="preserve">Resolved, That the Academic Senate for California Community Colleges review and update the document </w:t>
      </w:r>
      <w:r w:rsidRPr="00EE59C8">
        <w:rPr>
          <w:i/>
          <w:iCs/>
        </w:rPr>
        <w:t xml:space="preserve">Standards of Practice for California Community College Counseling Faculty and Programs </w:t>
      </w:r>
      <w:r>
        <w:t xml:space="preserve">by the 2026 Academic Senate for California Community Colleges Spring Plenary Session. </w:t>
      </w:r>
    </w:p>
    <w:p w14:paraId="3E6181E7" w14:textId="77777777" w:rsidR="003B0730" w:rsidRDefault="003B0730" w:rsidP="003B0730">
      <w:r w:rsidRPr="00E44F7E">
        <w:t xml:space="preserve">Contact: </w:t>
      </w:r>
      <w:r>
        <w:t>Mark Edward Osea, ASCCC Executive Committee</w:t>
      </w:r>
    </w:p>
    <w:p w14:paraId="552AA8C7" w14:textId="5614C90D" w:rsidR="00926075" w:rsidRDefault="00ED283F" w:rsidP="001A6DEA">
      <w:r>
        <w:t>MSU</w:t>
      </w:r>
    </w:p>
    <w:p w14:paraId="3B7E5FFA" w14:textId="7671E27E" w:rsidR="00926075" w:rsidRPr="00926075" w:rsidRDefault="009B44C9" w:rsidP="00F46FD9">
      <w:pPr>
        <w:pStyle w:val="Heading2"/>
      </w:pPr>
      <w:bookmarkStart w:id="68" w:name="_Toc197090175"/>
      <w:r w:rsidRPr="00926075">
        <w:t>111.02 S25</w:t>
      </w:r>
      <w:r w:rsidRPr="00926075">
        <w:rPr>
          <w:rStyle w:val="Strong"/>
          <w:rFonts w:asciiTheme="minorHAnsi" w:hAnsiTheme="minorHAnsi"/>
          <w:b/>
          <w:bCs w:val="0"/>
        </w:rPr>
        <w:t xml:space="preserve"> Senator Emeritus for</w:t>
      </w:r>
      <w:r w:rsidRPr="00926075">
        <w:t xml:space="preserve"> Dr. Matthew “Matt” Merrill Clark (Posthumous)</w:t>
      </w:r>
      <w:bookmarkEnd w:id="68"/>
    </w:p>
    <w:p w14:paraId="77F6B7C2" w14:textId="0DFF6B89" w:rsidR="009B44C9" w:rsidRPr="00157D63" w:rsidRDefault="009B44C9" w:rsidP="009B44C9">
      <w:pPr>
        <w:rPr>
          <w:rFonts w:cstheme="minorHAnsi"/>
        </w:rPr>
      </w:pPr>
      <w:r w:rsidRPr="00157D63">
        <w:rPr>
          <w:rFonts w:cstheme="minorHAnsi"/>
        </w:rPr>
        <w:t>Whereas, Dr. Matthew “Matt” Merrill Clark</w:t>
      </w:r>
      <w:r w:rsidR="00474ACC">
        <w:rPr>
          <w:rFonts w:cstheme="minorHAnsi"/>
        </w:rPr>
        <w:t xml:space="preserve"> was a </w:t>
      </w:r>
      <w:r w:rsidRPr="00157D63">
        <w:rPr>
          <w:rFonts w:cstheme="minorHAnsi"/>
        </w:rPr>
        <w:t xml:space="preserve">beloved Woodland Community College (WCC) </w:t>
      </w:r>
      <w:r w:rsidR="00474ACC">
        <w:rPr>
          <w:rFonts w:cstheme="minorHAnsi"/>
        </w:rPr>
        <w:t>s</w:t>
      </w:r>
      <w:r w:rsidRPr="00157D63">
        <w:rPr>
          <w:rFonts w:cstheme="minorHAnsi"/>
        </w:rPr>
        <w:t xml:space="preserve">tatistics </w:t>
      </w:r>
      <w:r w:rsidR="00474ACC">
        <w:rPr>
          <w:rFonts w:cstheme="minorHAnsi"/>
        </w:rPr>
        <w:t>p</w:t>
      </w:r>
      <w:r w:rsidRPr="00157D63">
        <w:rPr>
          <w:rFonts w:cstheme="minorHAnsi"/>
        </w:rPr>
        <w:t>rofessor for 32 years</w:t>
      </w:r>
      <w:r w:rsidR="00474ACC">
        <w:rPr>
          <w:rFonts w:cstheme="minorHAnsi"/>
        </w:rPr>
        <w:t>,</w:t>
      </w:r>
      <w:r w:rsidRPr="00157D63">
        <w:rPr>
          <w:rFonts w:cstheme="minorHAnsi"/>
        </w:rPr>
        <w:t xml:space="preserve"> </w:t>
      </w:r>
      <w:r w:rsidR="00474ACC">
        <w:rPr>
          <w:rFonts w:cstheme="minorHAnsi"/>
        </w:rPr>
        <w:t xml:space="preserve">a </w:t>
      </w:r>
      <w:r w:rsidRPr="00157D63">
        <w:rPr>
          <w:rFonts w:cstheme="minorHAnsi"/>
        </w:rPr>
        <w:t>dedicated Yuba Community College District faculty leader</w:t>
      </w:r>
      <w:r w:rsidR="00474ACC">
        <w:rPr>
          <w:rFonts w:cstheme="minorHAnsi"/>
        </w:rPr>
        <w:t>,</w:t>
      </w:r>
      <w:r w:rsidRPr="00157D63">
        <w:rPr>
          <w:rFonts w:cstheme="minorHAnsi"/>
        </w:rPr>
        <w:t xml:space="preserve"> </w:t>
      </w:r>
      <w:r w:rsidR="00474ACC">
        <w:rPr>
          <w:rFonts w:cstheme="minorHAnsi"/>
        </w:rPr>
        <w:t xml:space="preserve"> and a </w:t>
      </w:r>
      <w:r w:rsidRPr="00157D63">
        <w:rPr>
          <w:rFonts w:cstheme="minorHAnsi"/>
        </w:rPr>
        <w:t xml:space="preserve">founding member of WCC’s provisional senate who played a crucial role in the college’s successful accreditation and establishment as California’s 110th community college in 2008, continued his service for over 15 years in the WCC Academic Senate </w:t>
      </w:r>
      <w:r w:rsidR="00474ACC">
        <w:rPr>
          <w:rFonts w:cstheme="minorHAnsi"/>
        </w:rPr>
        <w:t xml:space="preserve">by </w:t>
      </w:r>
      <w:r w:rsidRPr="00157D63">
        <w:rPr>
          <w:rFonts w:cstheme="minorHAnsi"/>
        </w:rPr>
        <w:t xml:space="preserve">serving as its </w:t>
      </w:r>
      <w:r w:rsidR="00474ACC">
        <w:rPr>
          <w:rFonts w:cstheme="minorHAnsi"/>
        </w:rPr>
        <w:t>third</w:t>
      </w:r>
      <w:r w:rsidR="00474ACC" w:rsidRPr="00157D63">
        <w:rPr>
          <w:rFonts w:cstheme="minorHAnsi"/>
        </w:rPr>
        <w:t xml:space="preserve"> </w:t>
      </w:r>
      <w:r w:rsidRPr="00157D63">
        <w:rPr>
          <w:rFonts w:cstheme="minorHAnsi"/>
        </w:rPr>
        <w:t xml:space="preserve">and </w:t>
      </w:r>
      <w:r w:rsidR="00474ACC">
        <w:rPr>
          <w:rFonts w:cstheme="minorHAnsi"/>
        </w:rPr>
        <w:t>fifth</w:t>
      </w:r>
      <w:r w:rsidR="00474ACC" w:rsidRPr="00157D63">
        <w:rPr>
          <w:rFonts w:cstheme="minorHAnsi"/>
        </w:rPr>
        <w:t xml:space="preserve"> </w:t>
      </w:r>
      <w:r w:rsidR="00474ACC">
        <w:rPr>
          <w:rFonts w:cstheme="minorHAnsi"/>
        </w:rPr>
        <w:t>a</w:t>
      </w:r>
      <w:r w:rsidRPr="00157D63">
        <w:rPr>
          <w:rFonts w:cstheme="minorHAnsi"/>
        </w:rPr>
        <w:t xml:space="preserve">cademic </w:t>
      </w:r>
      <w:r w:rsidR="00474ACC">
        <w:rPr>
          <w:rFonts w:cstheme="minorHAnsi"/>
        </w:rPr>
        <w:t>s</w:t>
      </w:r>
      <w:r w:rsidRPr="00157D63">
        <w:rPr>
          <w:rFonts w:cstheme="minorHAnsi"/>
        </w:rPr>
        <w:t xml:space="preserve">enate </w:t>
      </w:r>
      <w:r w:rsidR="00474ACC">
        <w:rPr>
          <w:rFonts w:cstheme="minorHAnsi"/>
        </w:rPr>
        <w:t>p</w:t>
      </w:r>
      <w:r w:rsidRPr="00157D63">
        <w:rPr>
          <w:rFonts w:cstheme="minorHAnsi"/>
        </w:rPr>
        <w:t>resident (both prime numbers)</w:t>
      </w:r>
      <w:r w:rsidR="00474ACC">
        <w:rPr>
          <w:rFonts w:cstheme="minorHAnsi"/>
        </w:rPr>
        <w:t>,</w:t>
      </w:r>
      <w:r w:rsidRPr="00157D63">
        <w:rPr>
          <w:rFonts w:cstheme="minorHAnsi"/>
        </w:rPr>
        <w:t xml:space="preserve"> and </w:t>
      </w:r>
      <w:r w:rsidR="00474ACC">
        <w:rPr>
          <w:rFonts w:cstheme="minorHAnsi"/>
        </w:rPr>
        <w:t xml:space="preserve">was a </w:t>
      </w:r>
      <w:r w:rsidRPr="00157D63">
        <w:rPr>
          <w:rFonts w:cstheme="minorHAnsi"/>
        </w:rPr>
        <w:t>consistent and reliable faculty voice while navigating growing pains into a new multi-college district inclusive of program development, curriculum realignment, and governance</w:t>
      </w:r>
      <w:r w:rsidR="00474ACC">
        <w:rPr>
          <w:rFonts w:cstheme="minorHAnsi"/>
        </w:rPr>
        <w:t xml:space="preserve">, and Matt </w:t>
      </w:r>
      <w:r w:rsidRPr="00157D63">
        <w:rPr>
          <w:rFonts w:cstheme="minorHAnsi"/>
        </w:rPr>
        <w:t>passed unexpectedly on June 21, 2024;</w:t>
      </w:r>
    </w:p>
    <w:p w14:paraId="4EF490E6" w14:textId="0CA13B5D" w:rsidR="009B44C9" w:rsidRPr="00157D63" w:rsidRDefault="009B44C9" w:rsidP="009B44C9">
      <w:pPr>
        <w:rPr>
          <w:rFonts w:cstheme="minorHAnsi"/>
        </w:rPr>
      </w:pPr>
      <w:r w:rsidRPr="00157D63">
        <w:rPr>
          <w:rFonts w:cstheme="minorHAnsi"/>
        </w:rPr>
        <w:t>Whereas, Matt served for over a decade as a delegate to the Academic Senate for California Community Colleges (ASCCC), where he provided thoughtful amendments and counterpoints during Area A meetings to clarify potential outcomes</w:t>
      </w:r>
      <w:r w:rsidRPr="00157D63">
        <w:rPr>
          <w:rStyle w:val="Strong"/>
          <w:rFonts w:asciiTheme="minorHAnsi" w:eastAsia="Times New Roman" w:hAnsiTheme="minorHAnsi" w:cstheme="minorHAnsi"/>
        </w:rPr>
        <w:t>,</w:t>
      </w:r>
      <w:r w:rsidRPr="00157D63">
        <w:rPr>
          <w:rFonts w:cstheme="minorHAnsi"/>
        </w:rPr>
        <w:t xml:space="preserve"> provided insights consistently centered on student support and </w:t>
      </w:r>
      <w:r w:rsidR="00474ACC">
        <w:rPr>
          <w:rStyle w:val="Strong"/>
          <w:rFonts w:asciiTheme="minorHAnsi" w:eastAsia="Times New Roman" w:hAnsiTheme="minorHAnsi" w:cstheme="minorHAnsi"/>
          <w:b w:val="0"/>
          <w:bCs w:val="0"/>
        </w:rPr>
        <w:t>i</w:t>
      </w:r>
      <w:r w:rsidRPr="00157D63">
        <w:rPr>
          <w:rStyle w:val="Strong"/>
          <w:rFonts w:asciiTheme="minorHAnsi" w:eastAsia="Times New Roman" w:hAnsiTheme="minorHAnsi" w:cstheme="minorHAnsi"/>
          <w:b w:val="0"/>
          <w:bCs w:val="0"/>
        </w:rPr>
        <w:t xml:space="preserve">nclusion, </w:t>
      </w:r>
      <w:r w:rsidR="00474ACC">
        <w:rPr>
          <w:rStyle w:val="Strong"/>
          <w:rFonts w:asciiTheme="minorHAnsi" w:eastAsia="Times New Roman" w:hAnsiTheme="minorHAnsi" w:cstheme="minorHAnsi"/>
          <w:b w:val="0"/>
          <w:bCs w:val="0"/>
        </w:rPr>
        <w:t>d</w:t>
      </w:r>
      <w:r w:rsidRPr="00157D63">
        <w:rPr>
          <w:rStyle w:val="Strong"/>
          <w:rFonts w:asciiTheme="minorHAnsi" w:eastAsia="Times New Roman" w:hAnsiTheme="minorHAnsi" w:cstheme="minorHAnsi"/>
          <w:b w:val="0"/>
          <w:bCs w:val="0"/>
        </w:rPr>
        <w:t xml:space="preserve">iversity, </w:t>
      </w:r>
      <w:r w:rsidR="00474ACC">
        <w:rPr>
          <w:rStyle w:val="Strong"/>
          <w:rFonts w:asciiTheme="minorHAnsi" w:eastAsia="Times New Roman" w:hAnsiTheme="minorHAnsi" w:cstheme="minorHAnsi"/>
          <w:b w:val="0"/>
          <w:bCs w:val="0"/>
        </w:rPr>
        <w:t>e</w:t>
      </w:r>
      <w:r w:rsidRPr="00157D63">
        <w:rPr>
          <w:rStyle w:val="Strong"/>
          <w:rFonts w:asciiTheme="minorHAnsi" w:eastAsia="Times New Roman" w:hAnsiTheme="minorHAnsi" w:cstheme="minorHAnsi"/>
          <w:b w:val="0"/>
          <w:bCs w:val="0"/>
        </w:rPr>
        <w:t xml:space="preserve">quity, </w:t>
      </w:r>
      <w:r w:rsidR="00474ACC">
        <w:rPr>
          <w:rStyle w:val="Strong"/>
          <w:rFonts w:asciiTheme="minorHAnsi" w:eastAsia="Times New Roman" w:hAnsiTheme="minorHAnsi" w:cstheme="minorHAnsi"/>
          <w:b w:val="0"/>
          <w:bCs w:val="0"/>
        </w:rPr>
        <w:t>a</w:t>
      </w:r>
      <w:r w:rsidRPr="00157D63">
        <w:rPr>
          <w:rStyle w:val="Strong"/>
          <w:rFonts w:asciiTheme="minorHAnsi" w:eastAsia="Times New Roman" w:hAnsiTheme="minorHAnsi" w:cstheme="minorHAnsi"/>
          <w:b w:val="0"/>
          <w:bCs w:val="0"/>
        </w:rPr>
        <w:t>ntiracism</w:t>
      </w:r>
      <w:r w:rsidR="00474ACC">
        <w:rPr>
          <w:rStyle w:val="Strong"/>
          <w:rFonts w:asciiTheme="minorHAnsi" w:eastAsia="Times New Roman" w:hAnsiTheme="minorHAnsi" w:cstheme="minorHAnsi"/>
          <w:b w:val="0"/>
          <w:bCs w:val="0"/>
        </w:rPr>
        <w:t>,</w:t>
      </w:r>
      <w:r w:rsidRPr="00157D63">
        <w:rPr>
          <w:rStyle w:val="Strong"/>
          <w:rFonts w:asciiTheme="minorHAnsi" w:eastAsia="Times New Roman" w:hAnsiTheme="minorHAnsi" w:cstheme="minorHAnsi"/>
          <w:b w:val="0"/>
          <w:bCs w:val="0"/>
        </w:rPr>
        <w:t xml:space="preserve"> and </w:t>
      </w:r>
      <w:r w:rsidR="00474ACC">
        <w:rPr>
          <w:rStyle w:val="Strong"/>
          <w:rFonts w:asciiTheme="minorHAnsi" w:eastAsia="Times New Roman" w:hAnsiTheme="minorHAnsi" w:cstheme="minorHAnsi"/>
          <w:b w:val="0"/>
          <w:bCs w:val="0"/>
        </w:rPr>
        <w:t>a</w:t>
      </w:r>
      <w:r w:rsidRPr="00157D63">
        <w:rPr>
          <w:rStyle w:val="Strong"/>
          <w:rFonts w:asciiTheme="minorHAnsi" w:eastAsia="Times New Roman" w:hAnsiTheme="minorHAnsi" w:cstheme="minorHAnsi"/>
          <w:b w:val="0"/>
          <w:bCs w:val="0"/>
        </w:rPr>
        <w:t>ccessibility, advocated</w:t>
      </w:r>
      <w:r w:rsidRPr="00157D63">
        <w:rPr>
          <w:rStyle w:val="Strong"/>
          <w:rFonts w:asciiTheme="minorHAnsi" w:eastAsia="Times New Roman" w:hAnsiTheme="minorHAnsi" w:cstheme="minorHAnsi"/>
        </w:rPr>
        <w:t xml:space="preserve"> </w:t>
      </w:r>
      <w:r w:rsidRPr="00157D63">
        <w:rPr>
          <w:rStyle w:val="Strong"/>
          <w:rFonts w:asciiTheme="minorHAnsi" w:eastAsia="Times New Roman" w:hAnsiTheme="minorHAnsi" w:cstheme="minorHAnsi"/>
          <w:b w:val="0"/>
          <w:bCs w:val="0"/>
        </w:rPr>
        <w:t>for</w:t>
      </w:r>
      <w:r w:rsidRPr="00157D63">
        <w:rPr>
          <w:rStyle w:val="Strong"/>
          <w:rFonts w:asciiTheme="minorHAnsi" w:eastAsia="Times New Roman" w:hAnsiTheme="minorHAnsi" w:cstheme="minorHAnsi"/>
        </w:rPr>
        <w:t xml:space="preserve"> </w:t>
      </w:r>
      <w:r w:rsidRPr="00157D63">
        <w:rPr>
          <w:rFonts w:cstheme="minorHAnsi"/>
        </w:rPr>
        <w:t xml:space="preserve">faculty primacy in </w:t>
      </w:r>
      <w:r w:rsidR="00474ACC">
        <w:rPr>
          <w:rFonts w:cstheme="minorHAnsi"/>
        </w:rPr>
        <w:t>academic and professional</w:t>
      </w:r>
      <w:r w:rsidRPr="00157D63">
        <w:rPr>
          <w:rFonts w:cstheme="minorHAnsi"/>
        </w:rPr>
        <w:t xml:space="preserve"> matters, </w:t>
      </w:r>
      <w:r w:rsidRPr="00157D63">
        <w:rPr>
          <w:rStyle w:val="Strong"/>
          <w:rFonts w:asciiTheme="minorHAnsi" w:eastAsia="Times New Roman" w:hAnsiTheme="minorHAnsi" w:cstheme="minorHAnsi"/>
          <w:b w:val="0"/>
          <w:bCs w:val="0"/>
        </w:rPr>
        <w:t>advocated</w:t>
      </w:r>
      <w:r w:rsidRPr="00157D63">
        <w:rPr>
          <w:rFonts w:cstheme="minorHAnsi"/>
        </w:rPr>
        <w:t xml:space="preserve"> for higher education, </w:t>
      </w:r>
      <w:r w:rsidRPr="00157D63">
        <w:rPr>
          <w:rStyle w:val="Strong"/>
          <w:rFonts w:asciiTheme="minorHAnsi" w:eastAsia="Times New Roman" w:hAnsiTheme="minorHAnsi" w:cstheme="minorHAnsi"/>
          <w:b w:val="0"/>
          <w:bCs w:val="0"/>
        </w:rPr>
        <w:t>communicated</w:t>
      </w:r>
      <w:r w:rsidRPr="00157D63">
        <w:rPr>
          <w:rFonts w:cstheme="minorHAnsi"/>
        </w:rPr>
        <w:t xml:space="preserve"> the unique perspective of small and rural community colleges</w:t>
      </w:r>
      <w:r w:rsidRPr="00157D63">
        <w:rPr>
          <w:rStyle w:val="Strong"/>
          <w:rFonts w:asciiTheme="minorHAnsi" w:eastAsia="Times New Roman" w:hAnsiTheme="minorHAnsi" w:cstheme="minorHAnsi"/>
        </w:rPr>
        <w:t>,</w:t>
      </w:r>
      <w:r w:rsidRPr="00157D63">
        <w:rPr>
          <w:rFonts w:cstheme="minorHAnsi"/>
        </w:rPr>
        <w:t xml:space="preserve"> introduced many of his colleagues to statewide service; and empowered leadership through ASCCC plenaries, institutes, and regional meetings;</w:t>
      </w:r>
    </w:p>
    <w:p w14:paraId="1767B879" w14:textId="0B4DA7B0" w:rsidR="009B44C9" w:rsidRPr="00157D63" w:rsidRDefault="009B44C9" w:rsidP="009B44C9">
      <w:pPr>
        <w:rPr>
          <w:rFonts w:cstheme="minorHAnsi"/>
        </w:rPr>
      </w:pPr>
      <w:r w:rsidRPr="00157D63">
        <w:rPr>
          <w:rFonts w:cstheme="minorHAnsi"/>
        </w:rPr>
        <w:t xml:space="preserve">Whereas, Matt demonstrated exceptional dedication through his service on the ASCCC Relations with Local Senates Committee, resulting in </w:t>
      </w:r>
      <w:r w:rsidRPr="00157D63">
        <w:rPr>
          <w:rStyle w:val="Strong"/>
          <w:rFonts w:asciiTheme="minorHAnsi" w:eastAsia="Times New Roman" w:hAnsiTheme="minorHAnsi" w:cstheme="minorHAnsi"/>
          <w:b w:val="0"/>
          <w:bCs w:val="0"/>
        </w:rPr>
        <w:t>contribution</w:t>
      </w:r>
      <w:r w:rsidR="00474ACC">
        <w:rPr>
          <w:rStyle w:val="Strong"/>
          <w:rFonts w:asciiTheme="minorHAnsi" w:eastAsia="Times New Roman" w:hAnsiTheme="minorHAnsi" w:cstheme="minorHAnsi"/>
          <w:b w:val="0"/>
          <w:bCs w:val="0"/>
        </w:rPr>
        <w:t>s</w:t>
      </w:r>
      <w:r w:rsidRPr="00157D63">
        <w:rPr>
          <w:rStyle w:val="Strong"/>
          <w:rFonts w:asciiTheme="minorHAnsi" w:eastAsia="Times New Roman" w:hAnsiTheme="minorHAnsi" w:cstheme="minorHAnsi"/>
          <w:b w:val="0"/>
          <w:bCs w:val="0"/>
        </w:rPr>
        <w:t xml:space="preserve"> to the</w:t>
      </w:r>
      <w:r w:rsidRPr="00157D63">
        <w:rPr>
          <w:rStyle w:val="Strong"/>
          <w:rFonts w:asciiTheme="minorHAnsi" w:eastAsia="Times New Roman" w:hAnsiTheme="minorHAnsi" w:cstheme="minorHAnsi"/>
        </w:rPr>
        <w:t xml:space="preserve"> </w:t>
      </w:r>
      <w:r w:rsidRPr="00157D63">
        <w:rPr>
          <w:rFonts w:cstheme="minorHAnsi"/>
        </w:rPr>
        <w:t xml:space="preserve">development of the initial version of the </w:t>
      </w:r>
      <w:r w:rsidRPr="00157D63">
        <w:rPr>
          <w:rStyle w:val="Hyperlink"/>
          <w:rFonts w:eastAsia="Times New Roman" w:cstheme="minorHAnsi"/>
          <w:color w:val="auto"/>
          <w:u w:val="none"/>
        </w:rPr>
        <w:t xml:space="preserve">ASCCC </w:t>
      </w:r>
      <w:r w:rsidRPr="00EE59C8">
        <w:rPr>
          <w:rStyle w:val="Hyperlink"/>
          <w:rFonts w:eastAsia="Times New Roman" w:cstheme="minorHAnsi"/>
          <w:i/>
          <w:iCs/>
          <w:color w:val="auto"/>
          <w:u w:val="none"/>
        </w:rPr>
        <w:t>Local Senate</w:t>
      </w:r>
      <w:r w:rsidR="00474ACC" w:rsidRPr="00EE59C8">
        <w:rPr>
          <w:rStyle w:val="Hyperlink"/>
          <w:rFonts w:eastAsia="Times New Roman" w:cstheme="minorHAnsi"/>
          <w:i/>
          <w:iCs/>
          <w:color w:val="auto"/>
          <w:u w:val="none"/>
        </w:rPr>
        <w:t>s</w:t>
      </w:r>
      <w:r w:rsidRPr="00EE59C8">
        <w:rPr>
          <w:rStyle w:val="Hyperlink"/>
          <w:rFonts w:eastAsia="Times New Roman" w:cstheme="minorHAnsi"/>
          <w:i/>
          <w:iCs/>
          <w:color w:val="auto"/>
          <w:u w:val="none"/>
        </w:rPr>
        <w:t xml:space="preserve"> Handbook</w:t>
      </w:r>
      <w:r w:rsidRPr="00157D63">
        <w:rPr>
          <w:rStyle w:val="Hyperlink"/>
          <w:rFonts w:eastAsia="Times New Roman" w:cstheme="minorHAnsi"/>
          <w:color w:val="auto"/>
          <w:u w:val="none"/>
        </w:rPr>
        <w:t>,</w:t>
      </w:r>
      <w:r w:rsidRPr="00157D63">
        <w:rPr>
          <w:rFonts w:cstheme="minorHAnsi"/>
        </w:rPr>
        <w:t xml:space="preserve"> and</w:t>
      </w:r>
      <w:r w:rsidRPr="00157D63">
        <w:rPr>
          <w:rFonts w:cstheme="minorHAnsi"/>
          <w:b/>
          <w:bCs/>
        </w:rPr>
        <w:t xml:space="preserve"> </w:t>
      </w:r>
      <w:r w:rsidRPr="00157D63">
        <w:rPr>
          <w:rStyle w:val="Strong"/>
          <w:rFonts w:asciiTheme="minorHAnsi" w:eastAsia="Times New Roman" w:hAnsiTheme="minorHAnsi" w:cstheme="minorHAnsi"/>
          <w:b w:val="0"/>
          <w:bCs w:val="0"/>
        </w:rPr>
        <w:t>his work on the ASCCC</w:t>
      </w:r>
      <w:r w:rsidRPr="00157D63">
        <w:rPr>
          <w:rStyle w:val="Strong"/>
          <w:rFonts w:asciiTheme="minorHAnsi" w:eastAsia="Times New Roman" w:hAnsiTheme="minorHAnsi" w:cstheme="minorHAnsi"/>
        </w:rPr>
        <w:t xml:space="preserve"> </w:t>
      </w:r>
      <w:r w:rsidRPr="00157D63">
        <w:rPr>
          <w:rFonts w:cstheme="minorHAnsi"/>
        </w:rPr>
        <w:t xml:space="preserve">Math and Quantitative Reasoning Taskforce </w:t>
      </w:r>
      <w:r w:rsidRPr="00157D63">
        <w:rPr>
          <w:rStyle w:val="Strong"/>
          <w:rFonts w:asciiTheme="minorHAnsi" w:eastAsia="Times New Roman" w:hAnsiTheme="minorHAnsi" w:cstheme="minorHAnsi"/>
          <w:b w:val="0"/>
          <w:bCs w:val="0"/>
        </w:rPr>
        <w:t>was</w:t>
      </w:r>
      <w:r w:rsidRPr="00157D63">
        <w:rPr>
          <w:rFonts w:cstheme="minorHAnsi"/>
        </w:rPr>
        <w:t xml:space="preserve"> an invaluable resource to the ASCCC in advancing faculty-</w:t>
      </w:r>
      <w:r w:rsidRPr="00157D63">
        <w:rPr>
          <w:rFonts w:cstheme="minorHAnsi"/>
        </w:rPr>
        <w:lastRenderedPageBreak/>
        <w:t xml:space="preserve">driven work on AB 705 and AB 1705, providing guidance on the implications of these legislative mandates for mathematics instruction, placement practices, and student equity, leaving a lasting impact on colleagues, students, and </w:t>
      </w:r>
      <w:r w:rsidR="00474ACC">
        <w:rPr>
          <w:rFonts w:cstheme="minorHAnsi"/>
        </w:rPr>
        <w:t>the</w:t>
      </w:r>
      <w:r w:rsidRPr="00157D63">
        <w:rPr>
          <w:rFonts w:cstheme="minorHAnsi"/>
        </w:rPr>
        <w:t xml:space="preserve"> statewide community; and</w:t>
      </w:r>
    </w:p>
    <w:p w14:paraId="011CC989" w14:textId="27341FF4" w:rsidR="009B44C9" w:rsidRPr="00157D63" w:rsidRDefault="009B44C9" w:rsidP="009B44C9">
      <w:pPr>
        <w:rPr>
          <w:rFonts w:cstheme="minorHAnsi"/>
        </w:rPr>
      </w:pPr>
      <w:r w:rsidRPr="00157D63">
        <w:rPr>
          <w:rFonts w:cstheme="minorHAnsi"/>
        </w:rPr>
        <w:t xml:space="preserve">Whereas, Matt’s encouragement supported many </w:t>
      </w:r>
      <w:r w:rsidRPr="00157D63">
        <w:rPr>
          <w:rFonts w:eastAsia="Times New Roman" w:cstheme="minorHAnsi"/>
        </w:rPr>
        <w:t xml:space="preserve">faculty </w:t>
      </w:r>
      <w:r w:rsidRPr="00157D63">
        <w:rPr>
          <w:rFonts w:cstheme="minorHAnsi"/>
        </w:rPr>
        <w:t>across Area A, ASCCC Executive Committee members</w:t>
      </w:r>
      <w:r w:rsidR="001E2329">
        <w:rPr>
          <w:rFonts w:cstheme="minorHAnsi"/>
        </w:rPr>
        <w:t>,</w:t>
      </w:r>
      <w:r w:rsidRPr="00157D63">
        <w:rPr>
          <w:rFonts w:cstheme="minorHAnsi"/>
        </w:rPr>
        <w:t xml:space="preserve"> and </w:t>
      </w:r>
      <w:r w:rsidR="001E2329">
        <w:rPr>
          <w:rFonts w:cstheme="minorHAnsi"/>
        </w:rPr>
        <w:t>numerous</w:t>
      </w:r>
      <w:r w:rsidRPr="00157D63">
        <w:rPr>
          <w:rFonts w:cstheme="minorHAnsi"/>
        </w:rPr>
        <w:t xml:space="preserve"> ASCCC Presidents, and his service of leadership, empowerment, and faculty voice embodie</w:t>
      </w:r>
      <w:r w:rsidR="001E2329">
        <w:rPr>
          <w:rFonts w:cstheme="minorHAnsi"/>
        </w:rPr>
        <w:t>d</w:t>
      </w:r>
      <w:r w:rsidRPr="00157D63">
        <w:rPr>
          <w:rFonts w:cstheme="minorHAnsi"/>
        </w:rPr>
        <w:t xml:space="preserve"> the mission of ASCCC and will be deeply missed by the colleagues he inspired</w:t>
      </w:r>
      <w:r w:rsidR="001E2329">
        <w:rPr>
          <w:rFonts w:cstheme="minorHAnsi"/>
        </w:rPr>
        <w:t>;</w:t>
      </w:r>
    </w:p>
    <w:p w14:paraId="486C3C80" w14:textId="3578BB0A" w:rsidR="009B44C9" w:rsidRPr="00157D63" w:rsidRDefault="009B44C9" w:rsidP="009B44C9">
      <w:pPr>
        <w:rPr>
          <w:rFonts w:cstheme="minorHAnsi"/>
        </w:rPr>
      </w:pPr>
      <w:r w:rsidRPr="00157D63">
        <w:rPr>
          <w:rFonts w:cstheme="minorHAnsi"/>
        </w:rPr>
        <w:t xml:space="preserve">Resolved, That the Academic Senate for California Community Colleges hereby grant its highest honor of </w:t>
      </w:r>
      <w:r w:rsidR="001E2329">
        <w:rPr>
          <w:rFonts w:cstheme="minorHAnsi"/>
        </w:rPr>
        <w:t>s</w:t>
      </w:r>
      <w:r w:rsidRPr="00157D63">
        <w:rPr>
          <w:rFonts w:cstheme="minorHAnsi"/>
        </w:rPr>
        <w:t xml:space="preserve">enator </w:t>
      </w:r>
      <w:r w:rsidR="001E2329">
        <w:rPr>
          <w:rFonts w:cstheme="minorHAnsi"/>
        </w:rPr>
        <w:t>e</w:t>
      </w:r>
      <w:r w:rsidRPr="00157D63">
        <w:rPr>
          <w:rFonts w:cstheme="minorHAnsi"/>
        </w:rPr>
        <w:t>meritus posthumously to Dr. Matthew “Matt” Merrill Clark.</w:t>
      </w:r>
    </w:p>
    <w:p w14:paraId="041D13B8" w14:textId="7B59C906" w:rsidR="00532F15" w:rsidRPr="00157D63" w:rsidRDefault="009B44C9" w:rsidP="009B44C9">
      <w:pPr>
        <w:tabs>
          <w:tab w:val="left" w:pos="1090"/>
        </w:tabs>
        <w:rPr>
          <w:rFonts w:cstheme="minorHAnsi"/>
        </w:rPr>
      </w:pPr>
      <w:r w:rsidRPr="00157D63">
        <w:rPr>
          <w:rFonts w:cstheme="minorHAnsi"/>
        </w:rPr>
        <w:t>Contact: Aree Metz, Woodland Community College, Area A</w:t>
      </w:r>
    </w:p>
    <w:p w14:paraId="1E31C8F1" w14:textId="0A0AF5C3" w:rsidR="00157D63" w:rsidRDefault="00157D63" w:rsidP="009B44C9">
      <w:pPr>
        <w:tabs>
          <w:tab w:val="left" w:pos="1090"/>
        </w:tabs>
      </w:pPr>
      <w:r>
        <w:t>ACCLAMATION</w:t>
      </w:r>
    </w:p>
    <w:p w14:paraId="3F28D33C" w14:textId="7043DC4A" w:rsidR="00EB2858" w:rsidRPr="00F26AE6" w:rsidRDefault="00EB2858" w:rsidP="00EB2858">
      <w:pPr>
        <w:pStyle w:val="Heading2"/>
      </w:pPr>
      <w:bookmarkStart w:id="69" w:name="_Toc197090176"/>
      <w:r>
        <w:t>111.03 S25 Senator Emeritus for</w:t>
      </w:r>
      <w:r w:rsidRPr="00F26AE6">
        <w:t xml:space="preserve"> Dr. Peter John </w:t>
      </w:r>
      <w:proofErr w:type="spellStart"/>
      <w:r w:rsidRPr="00F26AE6">
        <w:t>Stanskas</w:t>
      </w:r>
      <w:proofErr w:type="spellEnd"/>
      <w:r>
        <w:t xml:space="preserve"> (Posthumous)</w:t>
      </w:r>
      <w:bookmarkEnd w:id="69"/>
      <w:r w:rsidRPr="00F26AE6">
        <w:t>  </w:t>
      </w:r>
    </w:p>
    <w:p w14:paraId="1C3C78DE" w14:textId="60E8BE65" w:rsidR="00EB2858" w:rsidRPr="00E44F7E" w:rsidRDefault="00EB2858" w:rsidP="00EB2858">
      <w:r w:rsidRPr="00E44F7E">
        <w:t xml:space="preserve">Whereas, The ASCCC </w:t>
      </w:r>
      <w:r w:rsidR="001E2329">
        <w:t>owes a debt of</w:t>
      </w:r>
      <w:r w:rsidR="001E2329" w:rsidRPr="00E44F7E">
        <w:t xml:space="preserve"> </w:t>
      </w:r>
      <w:r w:rsidRPr="00E44F7E">
        <w:t xml:space="preserve">deep gratitude to Dr. </w:t>
      </w:r>
      <w:r w:rsidRPr="00E501F0">
        <w:t>Peter “</w:t>
      </w:r>
      <w:r w:rsidRPr="00E44F7E">
        <w:t>John</w:t>
      </w:r>
      <w:r w:rsidRPr="00E501F0">
        <w:t>”</w:t>
      </w:r>
      <w:r w:rsidRPr="00E44F7E">
        <w:t xml:space="preserve"> </w:t>
      </w:r>
      <w:proofErr w:type="spellStart"/>
      <w:r w:rsidRPr="00E44F7E">
        <w:t>Stanskas</w:t>
      </w:r>
      <w:proofErr w:type="spellEnd"/>
      <w:r w:rsidRPr="00E44F7E">
        <w:t xml:space="preserve"> for his unwavering dedication to students, San Bernardino Valley College, and the California Community College</w:t>
      </w:r>
      <w:r>
        <w:t>s</w:t>
      </w:r>
      <w:r w:rsidRPr="00E44F7E">
        <w:t xml:space="preserve"> </w:t>
      </w:r>
      <w:r w:rsidR="001E2329">
        <w:t>s</w:t>
      </w:r>
      <w:r w:rsidRPr="00E44F7E">
        <w:t xml:space="preserve">ystem </w:t>
      </w:r>
      <w:r w:rsidR="001E2329">
        <w:t>as</w:t>
      </w:r>
      <w:r w:rsidRPr="00E44F7E">
        <w:t xml:space="preserve"> a genuine and stylish leader who celebrated life and made </w:t>
      </w:r>
      <w:r w:rsidR="001E2329">
        <w:t>everyone</w:t>
      </w:r>
      <w:r w:rsidRPr="00E44F7E">
        <w:t xml:space="preserve"> smile with his legendary shiny blue shoes; </w:t>
      </w:r>
    </w:p>
    <w:p w14:paraId="56F5AED8" w14:textId="64A6260C" w:rsidR="00EB2858" w:rsidRPr="00E44F7E" w:rsidRDefault="00EB2858" w:rsidP="00EB2858">
      <w:r w:rsidRPr="00E44F7E">
        <w:t xml:space="preserve">Whereas, </w:t>
      </w:r>
      <w:r w:rsidRPr="00E501F0">
        <w:t>John</w:t>
      </w:r>
      <w:r w:rsidRPr="00E44F7E">
        <w:t xml:space="preserve"> earned his </w:t>
      </w:r>
      <w:r w:rsidR="001E2329">
        <w:t>d</w:t>
      </w:r>
      <w:r w:rsidRPr="00E44F7E">
        <w:t xml:space="preserve">octorate in </w:t>
      </w:r>
      <w:r w:rsidR="001E2329">
        <w:t>n</w:t>
      </w:r>
      <w:r w:rsidRPr="00E44F7E">
        <w:t xml:space="preserve">uclear </w:t>
      </w:r>
      <w:r w:rsidR="001E2329">
        <w:t>c</w:t>
      </w:r>
      <w:r w:rsidRPr="00E44F7E">
        <w:t xml:space="preserve">hemistry from the University of Maryland and pursued his passion for teaching at San Bernardino Valley College, beginning as an adjunct faculty member in 2001 and becoming a full-time </w:t>
      </w:r>
      <w:r w:rsidR="001E2329">
        <w:t>c</w:t>
      </w:r>
      <w:r w:rsidRPr="00E44F7E">
        <w:t>hemistry faculty member in 2002</w:t>
      </w:r>
      <w:r w:rsidR="001E2329">
        <w:t>,</w:t>
      </w:r>
      <w:r w:rsidRPr="00E44F7E">
        <w:t xml:space="preserve"> and during his tenure, John served in numerous leadership roles, including Academic Senate for California Community Colleges President, San Bernardino Valley College Dean of Science, and the California Community Colleges’ Vice Chancellor of Academic Affairs, profoundly impacting the lives of students and colleagues;</w:t>
      </w:r>
    </w:p>
    <w:p w14:paraId="2A417846" w14:textId="28F97E44" w:rsidR="00EB2858" w:rsidRPr="00E44F7E" w:rsidRDefault="00EB2858" w:rsidP="00EB2858">
      <w:r w:rsidRPr="00E501F0">
        <w:t>Whereas</w:t>
      </w:r>
      <w:r w:rsidRPr="00E44F7E">
        <w:t xml:space="preserve">, John led the </w:t>
      </w:r>
      <w:r w:rsidRPr="00E501F0">
        <w:t xml:space="preserve">California Community Colleges </w:t>
      </w:r>
      <w:r w:rsidRPr="00E44F7E">
        <w:t>system through the tumultuous racial reckoning of 2020 with a Call to Action</w:t>
      </w:r>
      <w:r w:rsidRPr="00E501F0">
        <w:t>,</w:t>
      </w:r>
      <w:r w:rsidRPr="00E44F7E">
        <w:t xml:space="preserve"> providing direction for faculty and empowering </w:t>
      </w:r>
      <w:r w:rsidRPr="00E501F0">
        <w:t>local academic senates</w:t>
      </w:r>
      <w:r w:rsidRPr="00E44F7E">
        <w:t xml:space="preserve"> to create their own plans of action</w:t>
      </w:r>
      <w:r w:rsidRPr="00E501F0">
        <w:t>,</w:t>
      </w:r>
      <w:r w:rsidRPr="00E44F7E">
        <w:t xml:space="preserve"> </w:t>
      </w:r>
      <w:r w:rsidRPr="00E501F0">
        <w:t>all while helping to lead</w:t>
      </w:r>
      <w:r w:rsidRPr="00E44F7E">
        <w:t xml:space="preserve"> </w:t>
      </w:r>
      <w:r w:rsidRPr="00E501F0">
        <w:t>the</w:t>
      </w:r>
      <w:r w:rsidRPr="00E44F7E">
        <w:t xml:space="preserve"> California Community Colleges Diversity</w:t>
      </w:r>
      <w:r w:rsidR="001E2329">
        <w:t>,</w:t>
      </w:r>
      <w:r w:rsidRPr="00E44F7E">
        <w:t xml:space="preserve"> Equity</w:t>
      </w:r>
      <w:r w:rsidR="001E2329">
        <w:t>,</w:t>
      </w:r>
      <w:r w:rsidRPr="00E44F7E">
        <w:t xml:space="preserve"> and Inclusion Task Force</w:t>
      </w:r>
      <w:r w:rsidRPr="00E501F0">
        <w:t xml:space="preserve">, setting </w:t>
      </w:r>
      <w:r w:rsidRPr="00E44F7E">
        <w:t>the direction of DEI efforts in the system;</w:t>
      </w:r>
      <w:r w:rsidRPr="00E501F0">
        <w:t xml:space="preserve"> and </w:t>
      </w:r>
    </w:p>
    <w:p w14:paraId="2CAFED2C" w14:textId="77777777" w:rsidR="00EB2858" w:rsidRPr="00E44F7E" w:rsidRDefault="00EB2858" w:rsidP="00EB2858">
      <w:r w:rsidRPr="00E501F0">
        <w:t>Whereas</w:t>
      </w:r>
      <w:r w:rsidRPr="00E44F7E">
        <w:t xml:space="preserve">, </w:t>
      </w:r>
      <w:r w:rsidRPr="00E501F0">
        <w:t>John</w:t>
      </w:r>
      <w:r w:rsidRPr="00E44F7E">
        <w:t xml:space="preserve"> mentored many current and future senate leaders, introducing faculty to statewide service and encouraging them to take leadership roles</w:t>
      </w:r>
      <w:r w:rsidRPr="00E501F0">
        <w:t xml:space="preserve">, often serving as a sounding board to discuss the many questions one might have about statewide leadership with kindness, humility, and encouragement; </w:t>
      </w:r>
    </w:p>
    <w:p w14:paraId="742A7F5B" w14:textId="3CAA0465" w:rsidR="00EB2858" w:rsidRPr="00E44F7E" w:rsidRDefault="00EB2858" w:rsidP="00EB2858">
      <w:r w:rsidRPr="00E44F7E">
        <w:t xml:space="preserve">Resolved, That the Academic Senate </w:t>
      </w:r>
      <w:r w:rsidRPr="00E501F0">
        <w:t xml:space="preserve">for California Community Colleges hereby grant its highest honor of </w:t>
      </w:r>
      <w:r w:rsidR="001E2329">
        <w:t>s</w:t>
      </w:r>
      <w:r w:rsidRPr="00E501F0">
        <w:t xml:space="preserve">enator </w:t>
      </w:r>
      <w:r w:rsidR="001E2329">
        <w:t>e</w:t>
      </w:r>
      <w:r w:rsidRPr="00E501F0">
        <w:t xml:space="preserve">meritus posthumously to Dr. Peter John </w:t>
      </w:r>
      <w:proofErr w:type="spellStart"/>
      <w:r w:rsidRPr="00E501F0">
        <w:t>Stanskas</w:t>
      </w:r>
      <w:proofErr w:type="spellEnd"/>
      <w:r w:rsidRPr="00E44F7E">
        <w:t>.</w:t>
      </w:r>
    </w:p>
    <w:p w14:paraId="1D64C61D" w14:textId="77777777" w:rsidR="00EB2858" w:rsidRPr="008F0816" w:rsidRDefault="00EB2858" w:rsidP="00EB2858">
      <w:r w:rsidRPr="00E44F7E">
        <w:t>Andrea Hecht, San Bernardino Valley College, Area D</w:t>
      </w:r>
    </w:p>
    <w:p w14:paraId="50B0DC3F" w14:textId="7666FEE3" w:rsidR="00EB2858" w:rsidRDefault="00EB2858" w:rsidP="009B44C9">
      <w:pPr>
        <w:tabs>
          <w:tab w:val="left" w:pos="1090"/>
        </w:tabs>
      </w:pPr>
      <w:r>
        <w:lastRenderedPageBreak/>
        <w:t>ACCLAMATION</w:t>
      </w:r>
    </w:p>
    <w:p w14:paraId="2F3A79A4" w14:textId="684D3BFB" w:rsidR="0080234B" w:rsidRPr="0080234B" w:rsidRDefault="0080234B" w:rsidP="00F46FD9">
      <w:pPr>
        <w:pStyle w:val="Heading2"/>
      </w:pPr>
      <w:bookmarkStart w:id="70" w:name="_Toc197090177"/>
      <w:r>
        <w:t xml:space="preserve">111.04 S25 </w:t>
      </w:r>
      <w:r w:rsidRPr="00F26AE6">
        <w:t>Support of Sanctuary Campus Designations</w:t>
      </w:r>
      <w:bookmarkEnd w:id="70"/>
      <w:r w:rsidRPr="00F26AE6">
        <w:t>  </w:t>
      </w:r>
    </w:p>
    <w:p w14:paraId="448E0553" w14:textId="4ED63B95" w:rsidR="0080234B" w:rsidRPr="00E44F7E" w:rsidRDefault="0080234B" w:rsidP="0080234B">
      <w:r w:rsidRPr="00E44F7E">
        <w:t>Whereas, The Academic Senate for California Community Colleges is committed to inclusivity, dignity</w:t>
      </w:r>
      <w:r w:rsidR="00923E31">
        <w:t>,</w:t>
      </w:r>
      <w:r w:rsidRPr="00E44F7E">
        <w:t xml:space="preserve"> and respect for all of its diverse student body, faculty</w:t>
      </w:r>
      <w:r>
        <w:t>,</w:t>
      </w:r>
      <w:r w:rsidRPr="00E44F7E">
        <w:t xml:space="preserve"> and staff through education in a safe and tolerant environment </w:t>
      </w:r>
      <w:r w:rsidR="00923E31">
        <w:t>that</w:t>
      </w:r>
      <w:r w:rsidR="00923E31" w:rsidRPr="00E44F7E">
        <w:t xml:space="preserve"> </w:t>
      </w:r>
      <w:r w:rsidRPr="00E44F7E">
        <w:t>celebrates and protects the core values of academic freedom, wherein all students, faculty</w:t>
      </w:r>
      <w:r w:rsidR="00923E31">
        <w:t>,</w:t>
      </w:r>
      <w:r w:rsidRPr="00E44F7E">
        <w:t xml:space="preserve"> and staff may express and challenge ideas and beliefs without threat or fear of retaliation, including actions on the part of governments of the State of California and the United States of America;  </w:t>
      </w:r>
    </w:p>
    <w:p w14:paraId="176F24CF" w14:textId="0BB8A0B8" w:rsidR="0080234B" w:rsidRPr="00E44F7E" w:rsidRDefault="0080234B" w:rsidP="0080234B">
      <w:r w:rsidRPr="00E44F7E">
        <w:t>Whereas, The aforementioned values have been radically challenged by the rhetoric and actions of some elected and appointed officials of the federal government of the United States</w:t>
      </w:r>
      <w:r w:rsidR="00923E31">
        <w:t>,</w:t>
      </w:r>
      <w:r w:rsidRPr="00E44F7E">
        <w:t xml:space="preserve"> which, in turn, ha</w:t>
      </w:r>
      <w:r w:rsidR="00923E31">
        <w:t>s</w:t>
      </w:r>
      <w:r w:rsidRPr="00E44F7E">
        <w:t xml:space="preserve"> emboldened statements and acts of intolerance within the state of California, including </w:t>
      </w:r>
      <w:r>
        <w:t xml:space="preserve">from </w:t>
      </w:r>
      <w:r w:rsidR="00923E31">
        <w:t xml:space="preserve">within </w:t>
      </w:r>
      <w:r>
        <w:t>the</w:t>
      </w:r>
      <w:r w:rsidRPr="00E44F7E">
        <w:t xml:space="preserve"> California Community College</w:t>
      </w:r>
      <w:r>
        <w:t>s</w:t>
      </w:r>
      <w:r w:rsidRPr="00E44F7E">
        <w:t xml:space="preserve"> system; and</w:t>
      </w:r>
    </w:p>
    <w:p w14:paraId="1DE3E302" w14:textId="44FA614D" w:rsidR="0080234B" w:rsidRPr="00E44F7E" w:rsidRDefault="0080234B" w:rsidP="0080234B">
      <w:r w:rsidRPr="00E44F7E">
        <w:t>Whereas, The November 15, 2024 California Community Colleges Chancellor’s Office memo “California and its Community Colleges Remain Sanctuary Jurisdictions”</w:t>
      </w:r>
      <w:r>
        <w:rPr>
          <w:rStyle w:val="FootnoteReference"/>
          <w:rFonts w:eastAsia="Times New Roman" w:cstheme="minorHAnsi"/>
          <w:color w:val="000000"/>
        </w:rPr>
        <w:footnoteReference w:id="17"/>
      </w:r>
      <w:r w:rsidRPr="00E44F7E">
        <w:t> states</w:t>
      </w:r>
      <w:r w:rsidR="00923E31">
        <w:t xml:space="preserve"> that</w:t>
      </w:r>
      <w:r w:rsidRPr="00E44F7E">
        <w:t xml:space="preserve"> </w:t>
      </w:r>
      <w:r>
        <w:t>the Chancellor’s Office</w:t>
      </w:r>
      <w:r w:rsidRPr="00E44F7E">
        <w:t xml:space="preserve"> “anticipate</w:t>
      </w:r>
      <w:r>
        <w:t>[s]</w:t>
      </w:r>
      <w:r w:rsidRPr="00E44F7E">
        <w:t xml:space="preserve"> that the president-elect will issue new executive orders similar in scope and intent to Executive Order 13768</w:t>
      </w:r>
      <w:r>
        <w:t xml:space="preserve">, [and since] </w:t>
      </w:r>
      <w:r w:rsidRPr="00E44F7E">
        <w:t>the president-elect’s party has won control of both branches of Congress, additional anti-immigrant legislation may soon be enacted</w:t>
      </w:r>
      <w:r w:rsidR="00923E31">
        <w:t>,”</w:t>
      </w:r>
      <w:r w:rsidRPr="00E44F7E">
        <w:t xml:space="preserve"> but also asserts </w:t>
      </w:r>
      <w:r w:rsidR="00923E31">
        <w:t xml:space="preserve">that </w:t>
      </w:r>
      <w:r w:rsidRPr="00E44F7E">
        <w:t>“our system will refrain from cooperating in federal enforcement of national immigration laws unless compelled to do so by state or federal law</w:t>
      </w:r>
      <w:r>
        <w:t xml:space="preserve"> and, the</w:t>
      </w:r>
      <w:r w:rsidRPr="00E44F7E">
        <w:t xml:space="preserve"> system does not capture information on undocumented students, </w:t>
      </w:r>
      <w:r>
        <w:t>therefore</w:t>
      </w:r>
      <w:r w:rsidRPr="00E44F7E">
        <w:t xml:space="preserve"> our colleges will not release personally identifiable student information related to immigration status unless required by judicial order</w:t>
      </w:r>
      <w:r>
        <w:t>;</w:t>
      </w:r>
      <w:r w:rsidRPr="00E44F7E">
        <w:t>” </w:t>
      </w:r>
    </w:p>
    <w:p w14:paraId="4A8873FB" w14:textId="074C4410" w:rsidR="0080234B" w:rsidRPr="00E44F7E" w:rsidRDefault="0080234B" w:rsidP="0080234B">
      <w:r w:rsidRPr="00E44F7E">
        <w:t xml:space="preserve">Resolved, That the Academic Senate for California Community Colleges recognize that individual campuses’ sanctuary designations are part of a systemwide commitment to </w:t>
      </w:r>
      <w:r w:rsidR="00923E31">
        <w:rPr>
          <w:rFonts w:eastAsia="Times New Roman" w:cstheme="minorHAnsi"/>
          <w:color w:val="000000"/>
        </w:rPr>
        <w:t>i</w:t>
      </w:r>
      <w:r>
        <w:rPr>
          <w:rFonts w:eastAsia="Times New Roman" w:cstheme="minorHAnsi"/>
          <w:color w:val="000000"/>
        </w:rPr>
        <w:t>nclusion</w:t>
      </w:r>
      <w:r w:rsidRPr="00E44F7E">
        <w:t xml:space="preserve">, </w:t>
      </w:r>
      <w:r w:rsidR="00923E31">
        <w:t>d</w:t>
      </w:r>
      <w:r w:rsidRPr="00E44F7E">
        <w:t xml:space="preserve">iversity, </w:t>
      </w:r>
      <w:r w:rsidR="00923E31">
        <w:t>e</w:t>
      </w:r>
      <w:r w:rsidRPr="00E44F7E">
        <w:t xml:space="preserve">quity, </w:t>
      </w:r>
      <w:r w:rsidR="00923E31">
        <w:t>a</w:t>
      </w:r>
      <w:r>
        <w:t xml:space="preserve">nti-Racism, </w:t>
      </w:r>
      <w:r w:rsidRPr="00E44F7E">
        <w:t xml:space="preserve">and </w:t>
      </w:r>
      <w:r w:rsidR="00923E31">
        <w:t>a</w:t>
      </w:r>
      <w:r w:rsidRPr="00E44F7E">
        <w:t>ccessibility</w:t>
      </w:r>
      <w:r w:rsidRPr="0068190A">
        <w:rPr>
          <w:rFonts w:eastAsia="Times New Roman" w:cstheme="minorHAnsi"/>
          <w:color w:val="000000"/>
        </w:rPr>
        <w:t>; </w:t>
      </w:r>
      <w:r>
        <w:rPr>
          <w:rFonts w:eastAsia="Times New Roman" w:cstheme="minorHAnsi"/>
          <w:color w:val="000000"/>
        </w:rPr>
        <w:t xml:space="preserve"> </w:t>
      </w:r>
    </w:p>
    <w:p w14:paraId="6FD63D1F" w14:textId="3CAD00E9" w:rsidR="0080234B" w:rsidRPr="00E44F7E" w:rsidRDefault="0080234B" w:rsidP="0080234B">
      <w:r w:rsidRPr="00E44F7E">
        <w:t xml:space="preserve">Resolved, That the Academic Senate for California Community Colleges encourage </w:t>
      </w:r>
      <w:r>
        <w:t xml:space="preserve">local academic senates </w:t>
      </w:r>
      <w:r w:rsidR="00923E31">
        <w:t xml:space="preserve">to </w:t>
      </w:r>
      <w:r>
        <w:t>work with their college administration</w:t>
      </w:r>
      <w:r w:rsidR="00923E31">
        <w:t>s</w:t>
      </w:r>
      <w:r>
        <w:t xml:space="preserve"> to designate their</w:t>
      </w:r>
      <w:r w:rsidRPr="00E44F7E">
        <w:t xml:space="preserve"> colleg</w:t>
      </w:r>
      <w:r>
        <w:t>e</w:t>
      </w:r>
      <w:r w:rsidR="00923E31">
        <w:t>s</w:t>
      </w:r>
      <w:r w:rsidRPr="00E44F7E">
        <w:t xml:space="preserve"> sanctuary campus</w:t>
      </w:r>
      <w:r w:rsidR="00AB6CBA">
        <w:t>es</w:t>
      </w:r>
      <w:r w:rsidRPr="00E44F7E">
        <w:t>; and</w:t>
      </w:r>
    </w:p>
    <w:p w14:paraId="08F3BF68" w14:textId="6DCE6D15" w:rsidR="0080234B" w:rsidRPr="008F0816" w:rsidRDefault="0080234B" w:rsidP="0080234B">
      <w:r w:rsidRPr="00372EA5">
        <w:t>Resolved, That the Academic Senate for California Community Colleges work with the California Community Colleges Chancellor’s Office to provide professional development opportunities and guidance regarding the formal adoption of the designation of sanctuary campus.</w:t>
      </w:r>
      <w:r w:rsidRPr="00E44F7E">
        <w:t> </w:t>
      </w:r>
      <w:r w:rsidRPr="008F0816">
        <w:t xml:space="preserve"> </w:t>
      </w:r>
    </w:p>
    <w:p w14:paraId="6454A0BC" w14:textId="01C08601" w:rsidR="0080234B" w:rsidRPr="00077ADD" w:rsidRDefault="0080234B" w:rsidP="00077ADD">
      <w:pPr>
        <w:rPr>
          <w:color w:val="0000FF"/>
          <w:u w:val="single"/>
        </w:rPr>
      </w:pPr>
      <w:r w:rsidRPr="00E44F7E">
        <w:t>Contact: Joshua Scott, Solano Community College, Area B</w:t>
      </w:r>
    </w:p>
    <w:p w14:paraId="61BFDD22" w14:textId="7602ED36" w:rsidR="001B1A1E" w:rsidRDefault="00077ADD" w:rsidP="00532F15">
      <w:pPr>
        <w:tabs>
          <w:tab w:val="left" w:pos="1090"/>
        </w:tabs>
      </w:pPr>
      <w:r>
        <w:t>ACCLAMATION</w:t>
      </w:r>
    </w:p>
    <w:p w14:paraId="49AC0981" w14:textId="6953396F" w:rsidR="001B1A1E" w:rsidRPr="001B1A1E" w:rsidRDefault="001B1A1E" w:rsidP="00F46FD9">
      <w:pPr>
        <w:pStyle w:val="Heading2"/>
      </w:pPr>
      <w:bookmarkStart w:id="71" w:name="_Toc197090178"/>
      <w:r>
        <w:lastRenderedPageBreak/>
        <w:t xml:space="preserve">111.05 S25 </w:t>
      </w:r>
      <w:r w:rsidRPr="00F26AE6">
        <w:t>Advocat</w:t>
      </w:r>
      <w:r>
        <w:t>ing</w:t>
      </w:r>
      <w:r w:rsidRPr="00F26AE6">
        <w:t xml:space="preserve"> for the Inclusion of California Community Colleges Classified Senates in Title 5</w:t>
      </w:r>
      <w:bookmarkEnd w:id="71"/>
      <w:r w:rsidRPr="00F26AE6">
        <w:t> </w:t>
      </w:r>
    </w:p>
    <w:p w14:paraId="391AEC87" w14:textId="4AA63D1B" w:rsidR="001B1A1E" w:rsidRPr="00F26AE6" w:rsidRDefault="001B1A1E" w:rsidP="001B1A1E">
      <w:pPr>
        <w:rPr>
          <w:rFonts w:cstheme="minorHAnsi"/>
        </w:rPr>
      </w:pPr>
      <w:r w:rsidRPr="00F26AE6">
        <w:rPr>
          <w:rFonts w:cstheme="minorHAnsi"/>
        </w:rPr>
        <w:t>Whereas,</w:t>
      </w:r>
      <w:r w:rsidRPr="00E44F7E">
        <w:t xml:space="preserve"> </w:t>
      </w:r>
      <w:r w:rsidRPr="00F26AE6">
        <w:rPr>
          <w:rFonts w:cstheme="minorHAnsi"/>
        </w:rPr>
        <w:t>Education Code §70902(b)(7)</w:t>
      </w:r>
      <w:r>
        <w:rPr>
          <w:rStyle w:val="FootnoteReference"/>
          <w:rFonts w:cstheme="minorHAnsi"/>
        </w:rPr>
        <w:footnoteReference w:id="18"/>
      </w:r>
      <w:r>
        <w:rPr>
          <w:rFonts w:cstheme="minorHAnsi"/>
        </w:rPr>
        <w:t xml:space="preserve"> </w:t>
      </w:r>
      <w:r w:rsidRPr="00F26AE6">
        <w:rPr>
          <w:rFonts w:cstheme="minorHAnsi"/>
        </w:rPr>
        <w:t>states that the Board of Governors shall “[e]stablish procedures that are consistent with minimum standards…to ensure faculty, staff, and students the opportunity to express their opinions at the campus level, to ensure that these opinions are given every reasonable consideration, to ensure the right to participate effectively in district and college governance,” and Title 5 §51023.5</w:t>
      </w:r>
      <w:r>
        <w:rPr>
          <w:rStyle w:val="FootnoteReference"/>
          <w:rFonts w:cstheme="minorHAnsi"/>
        </w:rPr>
        <w:footnoteReference w:id="19"/>
      </w:r>
      <w:r w:rsidRPr="00F26AE6">
        <w:rPr>
          <w:rFonts w:cstheme="minorHAnsi"/>
        </w:rPr>
        <w:t xml:space="preserve"> states </w:t>
      </w:r>
      <w:r w:rsidR="00644A29">
        <w:rPr>
          <w:rFonts w:cstheme="minorHAnsi"/>
        </w:rPr>
        <w:t xml:space="preserve">that </w:t>
      </w:r>
      <w:r w:rsidRPr="00F26AE6">
        <w:rPr>
          <w:rFonts w:cstheme="minorHAnsi"/>
        </w:rPr>
        <w:t>“[s]</w:t>
      </w:r>
      <w:proofErr w:type="spellStart"/>
      <w:r w:rsidRPr="00F26AE6">
        <w:rPr>
          <w:rFonts w:cstheme="minorHAnsi"/>
        </w:rPr>
        <w:t>taff</w:t>
      </w:r>
      <w:proofErr w:type="spellEnd"/>
      <w:r w:rsidRPr="00F26AE6">
        <w:rPr>
          <w:rFonts w:cstheme="minorHAnsi"/>
        </w:rPr>
        <w:t xml:space="preserve"> shall be provided with opportunities to participate in the formulation and development of district and college policies and procedures, and in those processes for jointly developing recommendations for action by the governing board, that the governing board reasonably determines, in consultation with staff, have or will have a significant effect on staff,” but Title 5 does not recognize local classified senates, nor does it include classified staff areas of purview appropriate to classified professionals and </w:t>
      </w:r>
      <w:r w:rsidRPr="00E44F7E">
        <w:t xml:space="preserve">analogous to those delineated for academic senates in </w:t>
      </w:r>
      <w:r w:rsidRPr="00F26AE6">
        <w:rPr>
          <w:rFonts w:cstheme="minorHAnsi"/>
        </w:rPr>
        <w:t>§53200</w:t>
      </w:r>
      <w:r>
        <w:rPr>
          <w:rStyle w:val="FootnoteReference"/>
          <w:rFonts w:cstheme="minorHAnsi"/>
        </w:rPr>
        <w:footnoteReference w:id="20"/>
      </w:r>
      <w:r w:rsidRPr="00F26AE6">
        <w:rPr>
          <w:rFonts w:cstheme="minorHAnsi"/>
        </w:rPr>
        <w:t xml:space="preserve"> </w:t>
      </w:r>
      <w:r w:rsidRPr="00E44F7E">
        <w:t xml:space="preserve">and student leadership in </w:t>
      </w:r>
      <w:r w:rsidRPr="00F26AE6">
        <w:rPr>
          <w:rFonts w:cstheme="minorHAnsi"/>
        </w:rPr>
        <w:t>§51023.7</w:t>
      </w:r>
      <w:r>
        <w:rPr>
          <w:rStyle w:val="FootnoteReference"/>
          <w:rFonts w:cstheme="minorHAnsi"/>
        </w:rPr>
        <w:footnoteReference w:id="21"/>
      </w:r>
      <w:r w:rsidRPr="00F26AE6">
        <w:rPr>
          <w:rFonts w:cstheme="minorHAnsi"/>
        </w:rPr>
        <w:t xml:space="preserve">, leaving </w:t>
      </w:r>
      <w:r w:rsidRPr="00E44F7E">
        <w:t>classified senates without a formalized position within the structure of local colleges and districts that could reinforce the principles of participatory</w:t>
      </w:r>
      <w:r w:rsidR="00644A29">
        <w:t xml:space="preserve"> governance</w:t>
      </w:r>
      <w:r w:rsidRPr="00E44F7E">
        <w:t>, accountability, and inclusivity within California’s educational institutions</w:t>
      </w:r>
      <w:r w:rsidRPr="00F26AE6">
        <w:rPr>
          <w:rFonts w:cstheme="minorHAnsi"/>
        </w:rPr>
        <w:t xml:space="preserve">; </w:t>
      </w:r>
    </w:p>
    <w:p w14:paraId="58F0DB12" w14:textId="78FBC002" w:rsidR="001B1A1E" w:rsidRPr="00E44F7E" w:rsidRDefault="001B1A1E" w:rsidP="001B1A1E">
      <w:r w:rsidRPr="00E44F7E">
        <w:t>Whereas, Local classified professionals make up 60% of the California Community Colleges system’s full-time workforce but are often underrecognized for their roles and responsibilities within participatory governance since they do not have a formally recognized representative body within college governance structures;</w:t>
      </w:r>
    </w:p>
    <w:p w14:paraId="2B112E30" w14:textId="6D01F4A6" w:rsidR="001B1A1E" w:rsidRPr="00E44F7E" w:rsidRDefault="001B1A1E" w:rsidP="001B1A1E">
      <w:r w:rsidRPr="00E44F7E">
        <w:t xml:space="preserve">Whereas, The California Community College Classified Senate represents all classified professionals and plays a vital role in promoting transparent, equitable, and effective governance by ensuring that the concerns and recommendations of classified professionals are considered in the decision-making processes of colleges and </w:t>
      </w:r>
      <w:r w:rsidR="00644A29">
        <w:t xml:space="preserve">the </w:t>
      </w:r>
      <w:r w:rsidRPr="00E44F7E">
        <w:t>system; and</w:t>
      </w:r>
    </w:p>
    <w:p w14:paraId="4D25A973" w14:textId="7F13821B" w:rsidR="001B1A1E" w:rsidRPr="00E44F7E" w:rsidRDefault="001B1A1E" w:rsidP="001B1A1E">
      <w:r w:rsidRPr="00E44F7E">
        <w:t>Whereas, The inclusion of the California Community College Classified Senate in Title 5</w:t>
      </w:r>
      <w:r w:rsidR="00644A29">
        <w:t>,</w:t>
      </w:r>
      <w:r w:rsidRPr="00E44F7E">
        <w:t xml:space="preserve"> along with a delineation of the purview of classified senates</w:t>
      </w:r>
      <w:r w:rsidR="00644A29">
        <w:t>,</w:t>
      </w:r>
      <w:r w:rsidRPr="00E44F7E">
        <w:t xml:space="preserve"> would bring consistency among participatory governance practices that are already institutionalized by the long</w:t>
      </w:r>
      <w:r w:rsidR="00644A29">
        <w:t>-</w:t>
      </w:r>
      <w:r w:rsidRPr="00E44F7E">
        <w:t>time existence of the Student Senate for California Community Colleges and the Academic Senate for California Community Colleges;</w:t>
      </w:r>
    </w:p>
    <w:p w14:paraId="38E27B97" w14:textId="77777777" w:rsidR="001B1A1E" w:rsidRPr="00E44F7E" w:rsidRDefault="001B1A1E" w:rsidP="001B1A1E">
      <w:r w:rsidRPr="00F26AE6">
        <w:rPr>
          <w:rFonts w:cstheme="minorHAnsi"/>
        </w:rPr>
        <w:t>Resolved,</w:t>
      </w:r>
      <w:r w:rsidRPr="00E44F7E">
        <w:t xml:space="preserve"> That the Academic Senate for California Community Colleges urge local academic senates to advocate for a commitment to fostering a culture of participatory governance by ensuring that the insights and expertise of local classified senates are integrated into institutional participatory governance processes;</w:t>
      </w:r>
    </w:p>
    <w:p w14:paraId="63AC2F63" w14:textId="2F377D7F" w:rsidR="001B1A1E" w:rsidRPr="00E44F7E" w:rsidRDefault="001B1A1E" w:rsidP="001B1A1E">
      <w:r w:rsidRPr="00F26AE6">
        <w:rPr>
          <w:rFonts w:cstheme="minorHAnsi"/>
        </w:rPr>
        <w:lastRenderedPageBreak/>
        <w:t>Resolved,</w:t>
      </w:r>
      <w:r w:rsidRPr="00E44F7E">
        <w:t xml:space="preserve"> That the Academic Senate for California Community Colleges, in collaboration with system partners, advocate for the formal recognition of local classified senates in Title 5, including the designation of areas of purview explicitly acknowledged alongside those of </w:t>
      </w:r>
      <w:r w:rsidR="00644A29">
        <w:t>a</w:t>
      </w:r>
      <w:r w:rsidRPr="00E44F7E">
        <w:t xml:space="preserve">cademic </w:t>
      </w:r>
      <w:r w:rsidR="00644A29">
        <w:t>s</w:t>
      </w:r>
      <w:r w:rsidRPr="00E44F7E">
        <w:t>enate</w:t>
      </w:r>
      <w:r w:rsidR="00644A29">
        <w:t>s</w:t>
      </w:r>
      <w:r w:rsidRPr="00E44F7E">
        <w:t xml:space="preserve"> and student leadership; and</w:t>
      </w:r>
    </w:p>
    <w:p w14:paraId="5FA2D981" w14:textId="77777777" w:rsidR="001B1A1E" w:rsidRPr="00E44F7E" w:rsidRDefault="001B1A1E" w:rsidP="001B1A1E">
      <w:r w:rsidRPr="00F26AE6">
        <w:rPr>
          <w:rFonts w:cstheme="minorHAnsi"/>
        </w:rPr>
        <w:t>Resolved,</w:t>
      </w:r>
      <w:r w:rsidRPr="00E44F7E">
        <w:t> That the Academic Senate for California Community Colleges, in collaboration with system partners, advocate for formal recognition of the California Community Colleges Classified Senate as the official voice of classified professionals in participatory governance at the state level to safeguard the interests of classified professionals and enhance the collaborative framework of the California Community Colleges system. </w:t>
      </w:r>
    </w:p>
    <w:p w14:paraId="057F2353" w14:textId="77777777" w:rsidR="001B1A1E" w:rsidRDefault="001B1A1E" w:rsidP="001B1A1E">
      <w:r w:rsidRPr="00E44F7E">
        <w:t>Julie Bruno, Sierra College, Area A</w:t>
      </w:r>
    </w:p>
    <w:p w14:paraId="5FBF6101" w14:textId="38CF4B17" w:rsidR="00EE6264" w:rsidRPr="00F46FD9" w:rsidRDefault="001B1A1E" w:rsidP="00F46FD9">
      <w:pPr>
        <w:rPr>
          <w:rFonts w:eastAsia="Times New Roman" w:cstheme="minorHAnsi"/>
        </w:rPr>
      </w:pPr>
      <w:r>
        <w:t>ACCLAMATION</w:t>
      </w:r>
    </w:p>
    <w:p w14:paraId="2C94E8BD" w14:textId="03807D30" w:rsidR="002C720E" w:rsidRPr="002C720E" w:rsidRDefault="002C720E" w:rsidP="00F46FD9">
      <w:pPr>
        <w:pStyle w:val="Heading2"/>
      </w:pPr>
      <w:bookmarkStart w:id="72" w:name="_Toc197090179"/>
      <w:r>
        <w:t xml:space="preserve">111.06 S25 </w:t>
      </w:r>
      <w:r w:rsidRPr="00563C6B">
        <w:t>Unapologetic Commitment to IDEAA and Academic Freedom</w:t>
      </w:r>
      <w:bookmarkEnd w:id="72"/>
    </w:p>
    <w:p w14:paraId="52B13A68" w14:textId="5BD18BB6" w:rsidR="002C720E" w:rsidRPr="008F0816" w:rsidRDefault="002C720E" w:rsidP="002C720E">
      <w:r w:rsidRPr="008F0816">
        <w:t xml:space="preserve">Whereas, The Academic Senate for California Community Colleges (ASCCC) has consistently championed </w:t>
      </w:r>
      <w:r w:rsidR="00AA6A69">
        <w:t>i</w:t>
      </w:r>
      <w:r w:rsidRPr="008F0816">
        <w:t xml:space="preserve">nclusion, </w:t>
      </w:r>
      <w:r w:rsidR="00AA6A69">
        <w:t>d</w:t>
      </w:r>
      <w:r w:rsidRPr="008F0816">
        <w:t xml:space="preserve">iversity, </w:t>
      </w:r>
      <w:r w:rsidR="00AA6A69">
        <w:t>e</w:t>
      </w:r>
      <w:r w:rsidRPr="008F0816">
        <w:t xml:space="preserve">quity, </w:t>
      </w:r>
      <w:r w:rsidR="00AA6A69">
        <w:t>a</w:t>
      </w:r>
      <w:r w:rsidRPr="008F0816">
        <w:t>nti</w:t>
      </w:r>
      <w:r>
        <w:t>-R</w:t>
      </w:r>
      <w:r w:rsidRPr="008F0816">
        <w:t xml:space="preserve">acism, and </w:t>
      </w:r>
      <w:r w:rsidR="00AA6A69">
        <w:t>a</w:t>
      </w:r>
      <w:r w:rsidRPr="008F0816">
        <w:t>ccessibility (IDEAA) as fundamental to its mission</w:t>
      </w:r>
      <w:r w:rsidRPr="00E44F7E">
        <w:rPr>
          <w:rStyle w:val="FootnoteReference"/>
        </w:rPr>
        <w:t xml:space="preserve"> </w:t>
      </w:r>
      <w:r w:rsidRPr="008F0816">
        <w:t>and goals, as reflected in numerous resolutions supporting IDEAA -related initiatives</w:t>
      </w:r>
      <w:r w:rsidR="00AA6A69">
        <w:t>, including resolutions 09/07 F21, 03.02 S21, 19.01 F19, and 03.01 S21</w:t>
      </w:r>
      <w:r w:rsidRPr="008F0816">
        <w:t xml:space="preserve">; </w:t>
      </w:r>
    </w:p>
    <w:p w14:paraId="741A8464" w14:textId="00C59248" w:rsidR="002C720E" w:rsidRPr="00E54A40" w:rsidRDefault="002C720E" w:rsidP="002C720E">
      <w:r w:rsidRPr="008F0816">
        <w:t xml:space="preserve">Whereas, ASCCC President Cheryl Aschenbach’s statement titled “Upholding ASCCC Values” dated February 14, 2025 reaffirmed the organization’s unwavering commitment to fostering an inclusive and equitable academic environment despite ongoing national political challenges and opposition to IDEAA efforts in education, and IDEAA principles are essential for ensuring equitable access and success for students from historically marginalized and underrepresented backgrounds, aligning with the California </w:t>
      </w:r>
      <w:r>
        <w:t>c</w:t>
      </w:r>
      <w:r w:rsidRPr="008F0816">
        <w:t xml:space="preserve">ommunity </w:t>
      </w:r>
      <w:r>
        <w:t>c</w:t>
      </w:r>
      <w:r w:rsidRPr="008F0816">
        <w:t>olleges’ mission to serve all students with excellence;</w:t>
      </w:r>
    </w:p>
    <w:p w14:paraId="3855DDA6" w14:textId="6F9CD8F2" w:rsidR="002C720E" w:rsidRPr="008F0816" w:rsidRDefault="002C720E" w:rsidP="002C720E">
      <w:r w:rsidRPr="00261EE1">
        <w:t>Whereas, Faculty primacy in academic and professional matters, as established in Title 5 §53200</w:t>
      </w:r>
      <w:r w:rsidRPr="008F0816">
        <w:t>, includes curriculum, professional development, and student support programs, all of which are strengthened by a commitment to IDEAA, ensuring that course content, faculty hiring, and institutional practices reflect the diverse experiences and needs of California’s students; and</w:t>
      </w:r>
    </w:p>
    <w:p w14:paraId="512503BE" w14:textId="77777777" w:rsidR="002C720E" w:rsidRPr="008F0816" w:rsidRDefault="002C720E" w:rsidP="002C720E">
      <w:r w:rsidRPr="008F0816">
        <w:t>Whereas, Academic freedom is essential to the role of faculty in higher education</w:t>
      </w:r>
      <w:r w:rsidRPr="00E44F7E">
        <w:rPr>
          <w:rStyle w:val="FootnoteReference"/>
        </w:rPr>
        <w:footnoteReference w:id="22"/>
      </w:r>
      <w:r w:rsidRPr="008F0816">
        <w:t>, protecting critical inquiry, research, and teaching without fear of censorship, retaliation, or political interference, and threats to IDEAA efforts represent a broader attack on faculty autonomy and the integrity of academic institutions;</w:t>
      </w:r>
    </w:p>
    <w:p w14:paraId="140D7315" w14:textId="36899605" w:rsidR="002C720E" w:rsidRPr="008F0816" w:rsidRDefault="002C720E" w:rsidP="002C720E">
      <w:r w:rsidRPr="00E54A40">
        <w:lastRenderedPageBreak/>
        <w:t xml:space="preserve">Resolved, </w:t>
      </w:r>
      <w:r w:rsidRPr="00C04CD1">
        <w:t>T</w:t>
      </w:r>
      <w:r w:rsidRPr="002351AC">
        <w:t xml:space="preserve">hat the </w:t>
      </w:r>
      <w:r w:rsidRPr="00261EE1">
        <w:t>Academic Senate for California Community Colleges urge local academic senates to resist efforts to diminish or eliminate inclusion, diversity, e</w:t>
      </w:r>
      <w:r w:rsidRPr="00A82685">
        <w:t>quity, anti</w:t>
      </w:r>
      <w:r>
        <w:t>-</w:t>
      </w:r>
      <w:r w:rsidRPr="00C04CD1">
        <w:t xml:space="preserve">racism, and </w:t>
      </w:r>
      <w:r w:rsidRPr="002351AC">
        <w:t>a</w:t>
      </w:r>
      <w:r w:rsidRPr="00261EE1">
        <w:t>ccessibility initiatives within their purview</w:t>
      </w:r>
      <w:r w:rsidR="00AA6A69">
        <w:t xml:space="preserve"> as defined in Title 5 </w:t>
      </w:r>
      <w:r w:rsidR="00AA6A69" w:rsidRPr="00261EE1">
        <w:t>§53200</w:t>
      </w:r>
      <w:r w:rsidRPr="008F0816">
        <w:t xml:space="preserve">; and </w:t>
      </w:r>
    </w:p>
    <w:p w14:paraId="6304A50C" w14:textId="17F2F99E" w:rsidR="002C720E" w:rsidRPr="00C04CD1" w:rsidRDefault="002C720E" w:rsidP="002C720E">
      <w:r w:rsidRPr="00372EA5">
        <w:t xml:space="preserve">Resolved, That the Academic Senate for California Community Colleges affirm the indivisible nature of academic freedom and </w:t>
      </w:r>
      <w:r w:rsidR="00AA6A69">
        <w:t>i</w:t>
      </w:r>
      <w:r w:rsidRPr="00372EA5">
        <w:t xml:space="preserve">nclusion, </w:t>
      </w:r>
      <w:r w:rsidR="00AA6A69">
        <w:t>d</w:t>
      </w:r>
      <w:r w:rsidRPr="00372EA5">
        <w:t xml:space="preserve">iversity, </w:t>
      </w:r>
      <w:r w:rsidR="00AA6A69">
        <w:t>e</w:t>
      </w:r>
      <w:r w:rsidRPr="00372EA5">
        <w:t xml:space="preserve">quity, </w:t>
      </w:r>
      <w:r w:rsidR="00AA6A69">
        <w:t>a</w:t>
      </w:r>
      <w:r w:rsidRPr="00372EA5">
        <w:t>nti-</w:t>
      </w:r>
      <w:r>
        <w:t>R</w:t>
      </w:r>
      <w:r w:rsidRPr="00372EA5">
        <w:t xml:space="preserve">acism, and </w:t>
      </w:r>
      <w:r w:rsidR="00AA6A69">
        <w:t>a</w:t>
      </w:r>
      <w:r w:rsidRPr="00372EA5">
        <w:t>ccessibility, upholding faculty rights to teach, conduct research, and participate in professional discourse on IDEAA matters free from threats of political mischief, suppression, or institutional retaliation.</w:t>
      </w:r>
    </w:p>
    <w:p w14:paraId="443CB4F2" w14:textId="77777777" w:rsidR="002C720E" w:rsidRPr="00F26AE6" w:rsidRDefault="002C720E" w:rsidP="002C720E">
      <w:pPr>
        <w:rPr>
          <w:rFonts w:eastAsia="Times New Roman" w:cstheme="minorHAnsi"/>
        </w:rPr>
      </w:pPr>
      <w:r w:rsidRPr="00C04CD1">
        <w:t>Contact: Kelly Rivera, Mt. San Antonio College, Area C</w:t>
      </w:r>
    </w:p>
    <w:p w14:paraId="204A5AD9" w14:textId="734F4704" w:rsidR="002C720E" w:rsidRDefault="002C720E" w:rsidP="00532F15">
      <w:pPr>
        <w:tabs>
          <w:tab w:val="left" w:pos="1090"/>
        </w:tabs>
      </w:pPr>
      <w:r>
        <w:t>ACCLAMATION</w:t>
      </w:r>
    </w:p>
    <w:p w14:paraId="38175B11" w14:textId="3AE1AFA9" w:rsidR="00FC11D4" w:rsidRPr="00FC11D4" w:rsidRDefault="0071657A" w:rsidP="001E5169">
      <w:pPr>
        <w:pStyle w:val="Heading2"/>
      </w:pPr>
      <w:bookmarkStart w:id="73" w:name="_Toc193947408"/>
      <w:bookmarkStart w:id="74" w:name="_Toc193890609"/>
      <w:bookmarkStart w:id="75" w:name="_Toc195691380"/>
      <w:bookmarkStart w:id="76" w:name="_Toc196496787"/>
      <w:bookmarkStart w:id="77" w:name="_Toc196500342"/>
      <w:bookmarkStart w:id="78" w:name="_Toc197090180"/>
      <w:r>
        <w:t xml:space="preserve">111.07 S25 </w:t>
      </w:r>
      <w:r w:rsidRPr="00F41C38">
        <w:t>Laboratory Faculty and College Governance</w:t>
      </w:r>
      <w:bookmarkEnd w:id="73"/>
      <w:bookmarkEnd w:id="74"/>
      <w:bookmarkEnd w:id="75"/>
      <w:bookmarkEnd w:id="76"/>
      <w:bookmarkEnd w:id="77"/>
      <w:bookmarkEnd w:id="78"/>
    </w:p>
    <w:p w14:paraId="0A2E456B" w14:textId="53EFC1C2" w:rsidR="0071657A" w:rsidRPr="00F41C38" w:rsidRDefault="0071657A" w:rsidP="0071657A">
      <w:r w:rsidRPr="00541031">
        <w:t>Whereas,</w:t>
      </w:r>
      <w:r w:rsidRPr="00F41C38">
        <w:t xml:space="preserve"> Title 5 §55002.</w:t>
      </w:r>
      <w:r>
        <w:t>5</w:t>
      </w:r>
      <w:r>
        <w:rPr>
          <w:rStyle w:val="FootnoteReference"/>
        </w:rPr>
        <w:footnoteReference w:id="23"/>
      </w:r>
      <w:r w:rsidRPr="00F41C38">
        <w:t xml:space="preserve"> defines all credit hours as total student work and does not differentiate between work completed in lecture, </w:t>
      </w:r>
      <w:r w:rsidR="004408FB">
        <w:t xml:space="preserve">in </w:t>
      </w:r>
      <w:r w:rsidRPr="00F41C38">
        <w:t>lab, or outside the classroom</w:t>
      </w:r>
      <w:r w:rsidR="004408FB">
        <w:t>,</w:t>
      </w:r>
      <w:r w:rsidRPr="00F41C38">
        <w:t xml:space="preserve"> and Title 5 §§55002</w:t>
      </w:r>
      <w:r>
        <w:rPr>
          <w:rStyle w:val="FootnoteReference"/>
        </w:rPr>
        <w:footnoteReference w:id="24"/>
      </w:r>
      <w:r w:rsidRPr="00F41C38">
        <w:t>(a)(2)(C) states that credit courses shall treat “subject matter with a scope and intensity that requires students to study independently outside-of-class time”;</w:t>
      </w:r>
    </w:p>
    <w:p w14:paraId="2C29C58E" w14:textId="2FE91664" w:rsidR="0071657A" w:rsidRPr="00F41C38" w:rsidRDefault="0071657A" w:rsidP="0071657A">
      <w:r w:rsidRPr="00541031">
        <w:t>Whereas,</w:t>
      </w:r>
      <w:r w:rsidRPr="00F41C38">
        <w:t xml:space="preserve"> </w:t>
      </w:r>
      <w:r>
        <w:t>T</w:t>
      </w:r>
      <w:r w:rsidRPr="00F41C38">
        <w:t>he Academic Senate for California Community Colleges</w:t>
      </w:r>
      <w:r>
        <w:t xml:space="preserve"> (ASCCC)</w:t>
      </w:r>
      <w:r w:rsidRPr="00F41C38">
        <w:t xml:space="preserve"> affirmed in </w:t>
      </w:r>
      <w:r>
        <w:t xml:space="preserve">ASCCC </w:t>
      </w:r>
      <w:r w:rsidRPr="00F41C38">
        <w:t xml:space="preserve">Resolution 09.02 </w:t>
      </w:r>
      <w:r w:rsidR="004408FB">
        <w:t>SP</w:t>
      </w:r>
      <w:r w:rsidRPr="00F41C38">
        <w:t>01 that modern teaching pedagogy “has shifted to best meet student learning needs, including a movement to lecturing with various technology platforms in a laboratory setting and the inclusion of laboratory-like group collaborations and peer assisted learning in lecture formats”;</w:t>
      </w:r>
    </w:p>
    <w:p w14:paraId="73BB4219" w14:textId="1E0417DB" w:rsidR="004408FB" w:rsidRPr="00F41C38" w:rsidRDefault="0071657A" w:rsidP="0071657A">
      <w:r w:rsidRPr="00541031">
        <w:t>Whereas,</w:t>
      </w:r>
      <w:r w:rsidRPr="00F41C38">
        <w:t xml:space="preserve"> </w:t>
      </w:r>
      <w:r>
        <w:t>T</w:t>
      </w:r>
      <w:r w:rsidRPr="00F41C38">
        <w:t xml:space="preserve">he </w:t>
      </w:r>
      <w:r w:rsidR="004408FB">
        <w:t xml:space="preserve">ASCCC </w:t>
      </w:r>
      <w:r w:rsidRPr="00F41C38">
        <w:t xml:space="preserve">affirmed in Resolution 19.02 </w:t>
      </w:r>
      <w:r w:rsidR="004408FB">
        <w:t>SP</w:t>
      </w:r>
      <w:r w:rsidRPr="00F41C38">
        <w:t>16 that the “differential between a lecture and a laboratory or activity course full-time load hours is a governance concern that affects all programs containing laboratory or activity courses</w:t>
      </w:r>
      <w:r>
        <w:t>”</w:t>
      </w:r>
      <w:r w:rsidRPr="00F41C38">
        <w:t>;</w:t>
      </w:r>
      <w:r>
        <w:t xml:space="preserve"> and</w:t>
      </w:r>
    </w:p>
    <w:p w14:paraId="050D7821" w14:textId="7B27AF35" w:rsidR="0071657A" w:rsidRPr="00F41C38" w:rsidRDefault="0071657A" w:rsidP="0071657A">
      <w:r w:rsidRPr="00F41C38">
        <w:t xml:space="preserve">Whereas, </w:t>
      </w:r>
      <w:r>
        <w:t>W</w:t>
      </w:r>
      <w:r w:rsidRPr="00F41C38">
        <w:t xml:space="preserve">omen and faculty of color are underpaid in many disciplines compared to their White male counterparts, particularly in STEM and </w:t>
      </w:r>
      <w:r w:rsidR="004408FB">
        <w:t>h</w:t>
      </w:r>
      <w:r w:rsidRPr="00F41C38">
        <w:t xml:space="preserve">ealth </w:t>
      </w:r>
      <w:r w:rsidR="004408FB">
        <w:t>p</w:t>
      </w:r>
      <w:r w:rsidRPr="00F41C38">
        <w:t>rofessions disciplines that require extensive laboratory instruction</w:t>
      </w:r>
      <w:r>
        <w:rPr>
          <w:rStyle w:val="FootnoteReference"/>
        </w:rPr>
        <w:footnoteReference w:id="25"/>
      </w:r>
      <w:r w:rsidRPr="00F41C38">
        <w:t>;</w:t>
      </w:r>
    </w:p>
    <w:p w14:paraId="2E02364F" w14:textId="1A2C4D16" w:rsidR="00DE43C5" w:rsidRDefault="00DE43C5" w:rsidP="00DE43C5">
      <w:pPr>
        <w:spacing w:after="0" w:line="240" w:lineRule="auto"/>
        <w:rPr>
          <w:rFonts w:ascii="Calibri" w:eastAsia="Times New Roman" w:hAnsi="Calibri" w:cs="Calibri"/>
          <w:color w:val="000000"/>
          <w:lang w:eastAsia="zh-TW"/>
        </w:rPr>
      </w:pPr>
      <w:r w:rsidRPr="009B6092">
        <w:rPr>
          <w:rFonts w:ascii="Calibri" w:eastAsia="Times New Roman" w:hAnsi="Calibri" w:cs="Calibri"/>
          <w:color w:val="000000"/>
          <w:lang w:eastAsia="zh-TW"/>
        </w:rPr>
        <w:t xml:space="preserve">Resolved, That the Academic Senate for California Community Colleges </w:t>
      </w:r>
      <w:r w:rsidRPr="004221A4">
        <w:rPr>
          <w:rFonts w:ascii="Calibri" w:eastAsia="Times New Roman" w:hAnsi="Calibri" w:cs="Calibri"/>
          <w:color w:val="000000"/>
          <w:lang w:eastAsia="zh-TW"/>
        </w:rPr>
        <w:t>assert that the discrepancy between lecture and laboratory compen</w:t>
      </w:r>
      <w:r w:rsidRPr="009B6092">
        <w:rPr>
          <w:rFonts w:ascii="Calibri" w:eastAsia="Times New Roman" w:hAnsi="Calibri" w:cs="Calibri"/>
          <w:color w:val="000000"/>
          <w:lang w:eastAsia="zh-TW"/>
        </w:rPr>
        <w:t>sation is not grounded in modern pedagogical practices or the actual work performed and instead creates inequities among faculty groups;</w:t>
      </w:r>
    </w:p>
    <w:p w14:paraId="22ECE203" w14:textId="77777777" w:rsidR="00DE43C5" w:rsidRPr="009B6092" w:rsidRDefault="00DE43C5" w:rsidP="00DE43C5">
      <w:pPr>
        <w:spacing w:after="0" w:line="240" w:lineRule="auto"/>
        <w:rPr>
          <w:rFonts w:ascii="Times New Roman" w:eastAsia="Times New Roman" w:hAnsi="Times New Roman"/>
          <w:szCs w:val="24"/>
          <w:lang w:eastAsia="zh-TW"/>
        </w:rPr>
      </w:pPr>
    </w:p>
    <w:p w14:paraId="7E5C44FB" w14:textId="309611DF" w:rsidR="0071657A" w:rsidRPr="00F41C38" w:rsidRDefault="0071657A" w:rsidP="0071657A">
      <w:r w:rsidRPr="00F41C38">
        <w:t xml:space="preserve">Resolved, </w:t>
      </w:r>
      <w:r>
        <w:t>T</w:t>
      </w:r>
      <w:r w:rsidRPr="00F41C38">
        <w:t xml:space="preserve">hat the Academic Senate for California Community Colleges recommend </w:t>
      </w:r>
      <w:r w:rsidR="004408FB">
        <w:t xml:space="preserve">that </w:t>
      </w:r>
      <w:r w:rsidRPr="00F41C38">
        <w:t xml:space="preserve">colleges prioritize eliminating historical structural inequities in faculty load and pay </w:t>
      </w:r>
      <w:r w:rsidRPr="00F41C38">
        <w:lastRenderedPageBreak/>
        <w:t>determinations as part of their processes of instructional planning and budget development;</w:t>
      </w:r>
      <w:r>
        <w:t xml:space="preserve"> and</w:t>
      </w:r>
    </w:p>
    <w:p w14:paraId="34CF3E35" w14:textId="77777777" w:rsidR="0071657A" w:rsidRPr="00F41C38" w:rsidRDefault="0071657A" w:rsidP="0071657A">
      <w:r w:rsidRPr="00F41C38">
        <w:t xml:space="preserve">Resolved, </w:t>
      </w:r>
      <w:r>
        <w:t>T</w:t>
      </w:r>
      <w:r w:rsidRPr="00F41C38">
        <w:t>hat the Academic Senate for California Community Colleges investigate how load hours difference between lectures and laboratory or activity courses impacts the recruitment, hiring, and retention of faculty in disciplines with laboratory instruction</w:t>
      </w:r>
      <w:r>
        <w:t xml:space="preserve">. </w:t>
      </w:r>
    </w:p>
    <w:p w14:paraId="0D9235D3" w14:textId="77777777" w:rsidR="0071657A" w:rsidRPr="007810E4" w:rsidRDefault="0071657A" w:rsidP="0071657A">
      <w:r w:rsidRPr="00F41C38">
        <w:t xml:space="preserve">Contact: Preston Pipal, San José City College, </w:t>
      </w:r>
      <w:r>
        <w:t>Area B</w:t>
      </w:r>
    </w:p>
    <w:p w14:paraId="71010B88" w14:textId="3D188067" w:rsidR="00AA35E7" w:rsidRDefault="004221A4" w:rsidP="004221A4">
      <w:r>
        <w:t>MSC</w:t>
      </w:r>
    </w:p>
    <w:p w14:paraId="36F55022" w14:textId="43646794" w:rsidR="00911C9D" w:rsidRPr="00911C9D" w:rsidRDefault="00C545AF" w:rsidP="00F46FD9">
      <w:pPr>
        <w:pStyle w:val="Heading2"/>
      </w:pPr>
      <w:bookmarkStart w:id="79" w:name="_Toc197090181"/>
      <w:r>
        <w:t>111.08 S25 Advocating for Systemwide Access to AI Tools and Training</w:t>
      </w:r>
      <w:bookmarkEnd w:id="79"/>
    </w:p>
    <w:p w14:paraId="5C30E68F" w14:textId="77777777" w:rsidR="00C545AF" w:rsidRPr="00F26AE6" w:rsidRDefault="00C545AF" w:rsidP="00C545AF">
      <w:r w:rsidRPr="00F26AE6">
        <w:t xml:space="preserve">Whereas, The rapid integration of artificial intelligence (AI) technologies in higher education necessitates coordinated support for faculty, staff, and students across the California Community Colleges system; </w:t>
      </w:r>
    </w:p>
    <w:p w14:paraId="5B09F5DB" w14:textId="1A18F453" w:rsidR="00C545AF" w:rsidRPr="00F26AE6" w:rsidRDefault="00C545AF" w:rsidP="00C545AF">
      <w:r w:rsidRPr="00F26AE6">
        <w:t>Whereas, The California State University system has successfully implemented a centralized AI Commons</w:t>
      </w:r>
      <w:r>
        <w:t xml:space="preserve"> </w:t>
      </w:r>
      <w:r w:rsidRPr="00F26AE6">
        <w:t xml:space="preserve">that provides tools, resources, professional development, and guidance for ethical AI implementation across their institutions; </w:t>
      </w:r>
    </w:p>
    <w:p w14:paraId="1019C12D" w14:textId="7E75D1F0" w:rsidR="00C545AF" w:rsidRPr="00C545AF" w:rsidRDefault="00C545AF" w:rsidP="00C545AF">
      <w:pPr>
        <w:spacing w:after="0" w:line="240" w:lineRule="auto"/>
        <w:rPr>
          <w:rFonts w:ascii="Calibri" w:eastAsia="Times New Roman" w:hAnsi="Calibri" w:cs="Calibri"/>
          <w:color w:val="000000"/>
          <w:lang w:eastAsia="zh-TW"/>
        </w:rPr>
      </w:pPr>
      <w:r w:rsidRPr="00C545AF">
        <w:rPr>
          <w:rFonts w:ascii="Calibri" w:eastAsia="Times New Roman" w:hAnsi="Calibri" w:cs="Calibri"/>
          <w:color w:val="000000"/>
          <w:lang w:eastAsia="zh-TW"/>
        </w:rPr>
        <w:t>Whereas, The absence of centralized AI support results in duplication of effort and spending, as local colleges independently evaluate tools, negotiate licenses, and develop training</w:t>
      </w:r>
      <w:r w:rsidR="00B710E8">
        <w:rPr>
          <w:rFonts w:ascii="Calibri" w:eastAsia="Times New Roman" w:hAnsi="Calibri" w:cs="Calibri"/>
          <w:color w:val="000000"/>
          <w:lang w:eastAsia="zh-TW"/>
        </w:rPr>
        <w:t>,</w:t>
      </w:r>
      <w:r w:rsidRPr="00C545AF">
        <w:rPr>
          <w:rFonts w:ascii="Calibri" w:eastAsia="Times New Roman" w:hAnsi="Calibri" w:cs="Calibri"/>
          <w:color w:val="000000"/>
          <w:lang w:eastAsia="zh-TW"/>
        </w:rPr>
        <w:t xml:space="preserve"> creating inefficiencies that a systemwide strategy could address through shared procurement, equitable rollout, and coordinated professional development; and</w:t>
      </w:r>
    </w:p>
    <w:p w14:paraId="2E7D68DC" w14:textId="77777777" w:rsidR="00C545AF" w:rsidRPr="00835CA3" w:rsidRDefault="00C545AF" w:rsidP="00C545AF">
      <w:pPr>
        <w:spacing w:after="0" w:line="240" w:lineRule="auto"/>
        <w:rPr>
          <w:rFonts w:ascii="Times New Roman" w:eastAsia="Times New Roman" w:hAnsi="Times New Roman"/>
          <w:szCs w:val="24"/>
          <w:lang w:eastAsia="zh-TW"/>
        </w:rPr>
      </w:pPr>
    </w:p>
    <w:p w14:paraId="64D293AD" w14:textId="0962B3B2" w:rsidR="00C545AF" w:rsidRPr="00F26AE6" w:rsidRDefault="00C545AF" w:rsidP="00C545AF">
      <w:r w:rsidRPr="00F26AE6">
        <w:t>Whereas, The Academic Senate for California Community Colleges</w:t>
      </w:r>
      <w:r>
        <w:t xml:space="preserve"> (ASCCC)</w:t>
      </w:r>
      <w:r w:rsidRPr="00F26AE6">
        <w:t xml:space="preserve"> has previously acknowledged the importance of addressing AI in education through various resolutions, including</w:t>
      </w:r>
      <w:r>
        <w:t xml:space="preserve"> ASCCC</w:t>
      </w:r>
      <w:r w:rsidRPr="00F26AE6">
        <w:t xml:space="preserve"> </w:t>
      </w:r>
      <w:r>
        <w:t>r</w:t>
      </w:r>
      <w:r w:rsidRPr="00F26AE6">
        <w:t>esolution</w:t>
      </w:r>
      <w:r>
        <w:t>s</w:t>
      </w:r>
      <w:r w:rsidRPr="00F26AE6">
        <w:t xml:space="preserve"> </w:t>
      </w:r>
      <w:r w:rsidR="00B710E8">
        <w:t xml:space="preserve">13.05 </w:t>
      </w:r>
      <w:r w:rsidRPr="00F26AE6">
        <w:t>S</w:t>
      </w:r>
      <w:r w:rsidR="00B710E8">
        <w:t>P</w:t>
      </w:r>
      <w:r w:rsidRPr="00F26AE6">
        <w:t>23</w:t>
      </w:r>
      <w:r w:rsidR="00B710E8">
        <w:t xml:space="preserve"> </w:t>
      </w:r>
      <w:r w:rsidRPr="00F26AE6">
        <w:t>and</w:t>
      </w:r>
      <w:r w:rsidR="00B710E8">
        <w:t xml:space="preserve"> </w:t>
      </w:r>
      <w:r w:rsidRPr="00F26AE6">
        <w:t>108.01</w:t>
      </w:r>
      <w:r w:rsidR="00B710E8">
        <w:t xml:space="preserve"> F24</w:t>
      </w:r>
      <w:r w:rsidRPr="00F26AE6">
        <w:t xml:space="preserve">, which have called for the development of resources, frameworks, and criteria for evaluating AI tools for educational use; </w:t>
      </w:r>
    </w:p>
    <w:p w14:paraId="7D784F53" w14:textId="2A945815" w:rsidR="00C545AF" w:rsidRDefault="00C545AF" w:rsidP="00C545AF">
      <w:r w:rsidRPr="00F26AE6">
        <w:t xml:space="preserve">Resolved, That the Academic Senate for California Community Colleges recommend </w:t>
      </w:r>
      <w:r>
        <w:t xml:space="preserve">that </w:t>
      </w:r>
      <w:r w:rsidRPr="00F26AE6">
        <w:t xml:space="preserve">the </w:t>
      </w:r>
      <w:r>
        <w:t xml:space="preserve">California Community Colleges </w:t>
      </w:r>
      <w:r w:rsidRPr="00F26AE6">
        <w:t>Chancellor's Office</w:t>
      </w:r>
      <w:r>
        <w:t>, in partnership with industry, faculty, and statewide organizations such as the California Community Colleges Digital Center for Innovation and Learning Lab,</w:t>
      </w:r>
      <w:r w:rsidRPr="00F26AE6">
        <w:t xml:space="preserve"> establish a centralized California Community Colleges AI Commons that provides system-wide access to </w:t>
      </w:r>
      <w:r>
        <w:t>g</w:t>
      </w:r>
      <w:r w:rsidRPr="00F26AE6">
        <w:t xml:space="preserve">enerative </w:t>
      </w:r>
      <w:r>
        <w:t>a</w:t>
      </w:r>
      <w:r w:rsidRPr="00F26AE6">
        <w:t xml:space="preserve">rtificial </w:t>
      </w:r>
      <w:r>
        <w:t>i</w:t>
      </w:r>
      <w:r w:rsidRPr="00F26AE6">
        <w:t>ntelligence tools, resources, and professional development opportunities</w:t>
      </w:r>
      <w:r w:rsidR="00B710E8">
        <w:t>;</w:t>
      </w:r>
      <w:r w:rsidRPr="00F26AE6">
        <w:t xml:space="preserve"> </w:t>
      </w:r>
    </w:p>
    <w:p w14:paraId="0B88308C" w14:textId="6711F81D" w:rsidR="00C545AF" w:rsidRPr="00F26AE6" w:rsidRDefault="00C545AF" w:rsidP="00C545AF">
      <w:r w:rsidRPr="00F26AE6">
        <w:t xml:space="preserve">Resolved, That the Academic Senate for California Community Colleges confirm that the governance, content curation, and educational frameworks within the AI Commons are academic and professional matters that require primary reliance upon the advice and judgment of California </w:t>
      </w:r>
      <w:r w:rsidR="00B710E8">
        <w:t>c</w:t>
      </w:r>
      <w:r w:rsidRPr="00F26AE6">
        <w:t xml:space="preserve">ommunity </w:t>
      </w:r>
      <w:r w:rsidR="00B710E8">
        <w:t>c</w:t>
      </w:r>
      <w:r w:rsidRPr="00F26AE6">
        <w:t>ollege faculty; and</w:t>
      </w:r>
    </w:p>
    <w:p w14:paraId="02BB150C" w14:textId="110C2D8A" w:rsidR="00C545AF" w:rsidRPr="00F26AE6" w:rsidRDefault="00C545AF" w:rsidP="00C545AF">
      <w:r w:rsidRPr="00F26AE6">
        <w:t>Resolved, That the Academic Senate for California Community Colleges develop</w:t>
      </w:r>
      <w:r>
        <w:t xml:space="preserve"> </w:t>
      </w:r>
      <w:r w:rsidRPr="00F26AE6">
        <w:t>and implement a comprehensive plan for the California Community Colleges AI Commons</w:t>
      </w:r>
      <w:r w:rsidR="00B710E8">
        <w:t>,</w:t>
      </w:r>
      <w:r w:rsidRPr="00F26AE6">
        <w:t xml:space="preserve"> including </w:t>
      </w:r>
      <w:r w:rsidRPr="00372EA5">
        <w:t>vetted</w:t>
      </w:r>
      <w:r w:rsidRPr="00F26AE6">
        <w:t xml:space="preserve"> system-wide AI tool access, professional development pathways, and resources for ethical and </w:t>
      </w:r>
      <w:r w:rsidRPr="00F26AE6">
        <w:lastRenderedPageBreak/>
        <w:t>responsible implementation and use across diverse disciplines and learning environments</w:t>
      </w:r>
      <w:r>
        <w:t xml:space="preserve"> </w:t>
      </w:r>
      <w:r w:rsidRPr="00F26AE6">
        <w:t>by</w:t>
      </w:r>
      <w:r>
        <w:t xml:space="preserve"> spring 2026</w:t>
      </w:r>
      <w:r w:rsidRPr="00F26AE6">
        <w:t xml:space="preserve">. </w:t>
      </w:r>
    </w:p>
    <w:p w14:paraId="5E232AF3" w14:textId="77777777" w:rsidR="00C545AF" w:rsidRDefault="00C545AF" w:rsidP="00C545AF">
      <w:r w:rsidRPr="00F26AE6">
        <w:t xml:space="preserve">Contact: Mark Branom, San José City College, Area B </w:t>
      </w:r>
    </w:p>
    <w:p w14:paraId="16103E47" w14:textId="7DE66DA8" w:rsidR="003061B9" w:rsidRDefault="003061B9" w:rsidP="00C545AF">
      <w:r>
        <w:t>MSC</w:t>
      </w:r>
    </w:p>
    <w:p w14:paraId="18B05816" w14:textId="77777777" w:rsidR="00F475E4" w:rsidRPr="00000850" w:rsidRDefault="00F475E4" w:rsidP="00D74A5A">
      <w:pPr>
        <w:pStyle w:val="Heading2"/>
      </w:pPr>
      <w:bookmarkStart w:id="80" w:name="_Toc197090182"/>
      <w:r>
        <w:t xml:space="preserve">111.09 S25 </w:t>
      </w:r>
      <w:r w:rsidRPr="00B73CCF">
        <w:t>Supporting a United Faculty Workplace for California Community Colleges</w:t>
      </w:r>
      <w:bookmarkEnd w:id="80"/>
    </w:p>
    <w:p w14:paraId="402FF6DE" w14:textId="3CF1585C" w:rsidR="00F475E4" w:rsidRPr="00B73CCF" w:rsidRDefault="00F475E4" w:rsidP="00F475E4">
      <w:pPr>
        <w:spacing w:before="240"/>
      </w:pPr>
      <w:r w:rsidRPr="00B73CCF">
        <w:t xml:space="preserve">Whereas, </w:t>
      </w:r>
      <w:r>
        <w:t>T</w:t>
      </w:r>
      <w:r w:rsidRPr="00B73CCF">
        <w:t>he Academic Senate for California Community Colleges (ASCCC) is a statewide steward of academic and professional matters</w:t>
      </w:r>
      <w:r w:rsidR="00B710E8">
        <w:t xml:space="preserve"> </w:t>
      </w:r>
      <w:r w:rsidRPr="00B73CCF">
        <w:t xml:space="preserve">as outlined in </w:t>
      </w:r>
      <w:r w:rsidRPr="00DF3A98">
        <w:t>Title 5 §53200(c)</w:t>
      </w:r>
      <w:r>
        <w:t>,</w:t>
      </w:r>
      <w:r>
        <w:rPr>
          <w:rStyle w:val="FootnoteReference"/>
        </w:rPr>
        <w:footnoteReference w:id="26"/>
      </w:r>
      <w:r>
        <w:t xml:space="preserve"> with </w:t>
      </w:r>
      <w:hyperlink r:id="rId11">
        <w:r w:rsidRPr="00B73CCF">
          <w:t>a long history</w:t>
        </w:r>
      </w:hyperlink>
      <w:r w:rsidRPr="00B73CCF">
        <w:t xml:space="preserve"> advocating for equity and equal rights for part-time faculty </w:t>
      </w:r>
      <w:r>
        <w:t xml:space="preserve">and </w:t>
      </w:r>
      <w:r w:rsidRPr="00B73CCF">
        <w:t>formally working with various faculty groups</w:t>
      </w:r>
      <w:r w:rsidR="00B710E8">
        <w:t>,</w:t>
      </w:r>
      <w:r w:rsidRPr="00B73CCF">
        <w:t xml:space="preserve"> such as F</w:t>
      </w:r>
      <w:r>
        <w:t>aculty Association of California Community Colleges</w:t>
      </w:r>
      <w:r w:rsidR="00B710E8">
        <w:t>,</w:t>
      </w:r>
      <w:r w:rsidRPr="00B73CCF">
        <w:t xml:space="preserve"> through the Council of Faculty Organizations on common issues under academic and professional matters and overlapping purview</w:t>
      </w:r>
      <w:r w:rsidR="00B710E8">
        <w:t xml:space="preserve">, </w:t>
      </w:r>
      <w:r w:rsidRPr="00B73CCF">
        <w:t>all of which are essential to equitable and high-quality education;</w:t>
      </w:r>
    </w:p>
    <w:p w14:paraId="350177B0" w14:textId="487145F6" w:rsidR="00D74A5A" w:rsidRDefault="00D74A5A" w:rsidP="00D74A5A">
      <w:pPr>
        <w:rPr>
          <w:u w:val="single"/>
        </w:rPr>
      </w:pPr>
      <w:r w:rsidRPr="00B73CCF">
        <w:t xml:space="preserve">Whereas, California </w:t>
      </w:r>
      <w:r>
        <w:t>c</w:t>
      </w:r>
      <w:r w:rsidRPr="00B73CCF">
        <w:t xml:space="preserve">ommunity </w:t>
      </w:r>
      <w:r>
        <w:t>c</w:t>
      </w:r>
      <w:r w:rsidRPr="00B73CCF">
        <w:t xml:space="preserve">olleges currently operate under a divided, or </w:t>
      </w:r>
      <w:r w:rsidRPr="00931709">
        <w:t>two-tier</w:t>
      </w:r>
      <w:r w:rsidR="00B710E8">
        <w:t>,</w:t>
      </w:r>
      <w:r w:rsidRPr="00931709">
        <w:t xml:space="preserve"> faculty system</w:t>
      </w:r>
      <w:r w:rsidRPr="00B152C3">
        <w:rPr>
          <w:rStyle w:val="FootnoteReference"/>
        </w:rPr>
        <w:footnoteReference w:id="27"/>
      </w:r>
      <w:r w:rsidRPr="00B73CCF">
        <w:t xml:space="preserve"> comprised of part-time (adjunct) and full-time (</w:t>
      </w:r>
      <w:r w:rsidR="00B710E8">
        <w:t xml:space="preserve">tenured or </w:t>
      </w:r>
      <w:r w:rsidRPr="00B73CCF">
        <w:t>tenure-track) faculty who often operate under wholly separate rules, guidelines, and affordances</w:t>
      </w:r>
      <w:r>
        <w:t>,</w:t>
      </w:r>
      <w:r w:rsidRPr="00B73CCF">
        <w:t xml:space="preserve"> creat</w:t>
      </w:r>
      <w:r>
        <w:t>ing</w:t>
      </w:r>
      <w:r w:rsidRPr="00B73CCF">
        <w:t xml:space="preserve"> many inequities in both working conditions and academic and professional matters</w:t>
      </w:r>
      <w:r>
        <w:t>,</w:t>
      </w:r>
      <w:r w:rsidRPr="00B73CCF">
        <w:t xml:space="preserve"> including collegial consultation, professional development opportunities , curriculum development, </w:t>
      </w:r>
      <w:r w:rsidRPr="00D74A5A">
        <w:t xml:space="preserve">participatory governance structures, strategic </w:t>
      </w:r>
      <w:r w:rsidR="00B710E8">
        <w:t>and</w:t>
      </w:r>
      <w:r w:rsidRPr="00D74A5A">
        <w:t xml:space="preserve"> institutional planning, and more</w:t>
      </w:r>
      <w:r w:rsidR="00B710E8">
        <w:t xml:space="preserve">, </w:t>
      </w:r>
      <w:r w:rsidRPr="00D74A5A">
        <w:t>all of which negatively affect the college experience and success of the marginalized students part-time faculty serve;</w:t>
      </w:r>
    </w:p>
    <w:p w14:paraId="687C8DB3" w14:textId="4F29969C" w:rsidR="00D74A5A" w:rsidRPr="00C73C36" w:rsidRDefault="00D74A5A" w:rsidP="00D74A5A">
      <w:r w:rsidRPr="00B73CCF">
        <w:t xml:space="preserve">Whereas, </w:t>
      </w:r>
      <w:r>
        <w:t>T</w:t>
      </w:r>
      <w:r w:rsidRPr="00B73CCF">
        <w:t xml:space="preserve">he persistence of the two-tier </w:t>
      </w:r>
      <w:r w:rsidRPr="00B710E8">
        <w:t xml:space="preserve">faculty </w:t>
      </w:r>
      <w:r w:rsidRPr="00B73CCF">
        <w:t xml:space="preserve">system deprives California </w:t>
      </w:r>
      <w:r w:rsidR="00B710E8">
        <w:t>c</w:t>
      </w:r>
      <w:r w:rsidRPr="00B73CCF">
        <w:t xml:space="preserve">ommunity </w:t>
      </w:r>
      <w:r w:rsidR="00B710E8">
        <w:t>c</w:t>
      </w:r>
      <w:r w:rsidRPr="00D74A5A">
        <w:t>olleges of the opportunity to benefit from the diverse viewpoints and professional expertise of a large part</w:t>
      </w:r>
      <w:r>
        <w:t xml:space="preserve"> </w:t>
      </w:r>
      <w:r w:rsidRPr="00931709">
        <w:t>of every campus’ faculty body</w:t>
      </w:r>
      <w:r>
        <w:rPr>
          <w:rStyle w:val="FootnoteReference"/>
        </w:rPr>
        <w:footnoteReference w:id="28"/>
      </w:r>
      <w:r>
        <w:t xml:space="preserve"> and caus</w:t>
      </w:r>
      <w:r w:rsidR="00B710E8">
        <w:t>es</w:t>
      </w:r>
      <w:r w:rsidRPr="00B73CCF">
        <w:t xml:space="preserve"> disparities, which </w:t>
      </w:r>
      <w:r>
        <w:t>may be</w:t>
      </w:r>
      <w:r w:rsidRPr="00B73CCF">
        <w:t xml:space="preserve"> described as </w:t>
      </w:r>
      <w:r w:rsidRPr="00C73C36">
        <w:t>“</w:t>
      </w:r>
      <w:proofErr w:type="spellStart"/>
      <w:r w:rsidRPr="00C73C36">
        <w:t>tenurism</w:t>
      </w:r>
      <w:proofErr w:type="spellEnd"/>
      <w:r w:rsidRPr="00C73C36">
        <w:t>,”</w:t>
      </w:r>
      <w:r>
        <w:rPr>
          <w:rStyle w:val="FootnoteReference"/>
        </w:rPr>
        <w:footnoteReference w:id="29"/>
      </w:r>
      <w:r w:rsidRPr="00C73C36">
        <w:t xml:space="preserve"> </w:t>
      </w:r>
      <w:r>
        <w:t xml:space="preserve">that </w:t>
      </w:r>
      <w:r w:rsidRPr="00B73CCF">
        <w:t>belie the equitable treatment of faculty and deny basic professional dignity,</w:t>
      </w:r>
      <w:r w:rsidRPr="00B73CCF">
        <w:rPr>
          <w:i/>
        </w:rPr>
        <w:t xml:space="preserve"> </w:t>
      </w:r>
      <w:r w:rsidRPr="00B73CCF">
        <w:t xml:space="preserve">undermining the principles of equity and just working conditions as outlined in </w:t>
      </w:r>
      <w:r w:rsidRPr="00C73C36">
        <w:t>Article 23.1 of the Universal Declaration of Human Rights</w:t>
      </w:r>
      <w:r>
        <w:rPr>
          <w:rStyle w:val="FootnoteReference"/>
        </w:rPr>
        <w:footnoteReference w:id="30"/>
      </w:r>
      <w:r w:rsidRPr="00C73C36">
        <w:t>; and</w:t>
      </w:r>
    </w:p>
    <w:p w14:paraId="3B8DA762" w14:textId="08D645C7" w:rsidR="00D74A5A" w:rsidRPr="00B73CCF" w:rsidRDefault="00D74A5A" w:rsidP="00D74A5A">
      <w:r w:rsidRPr="00B73CCF">
        <w:t xml:space="preserve">Whereas, </w:t>
      </w:r>
      <w:r w:rsidR="00B710E8">
        <w:t>While t</w:t>
      </w:r>
      <w:r w:rsidRPr="00B73CCF">
        <w:t>he current structure</w:t>
      </w:r>
      <w:r w:rsidRPr="000F02EE">
        <w:t xml:space="preserve">, with its two vastly unequal tiers, </w:t>
      </w:r>
      <w:r w:rsidRPr="00B73CCF">
        <w:t>has produced</w:t>
      </w:r>
      <w:r>
        <w:t xml:space="preserve"> inconsistent and inequitable service for students,</w:t>
      </w:r>
      <w:r w:rsidRPr="00B73CCF">
        <w:t xml:space="preserve"> </w:t>
      </w:r>
      <w:r w:rsidRPr="00904041">
        <w:t>the United Faculty model</w:t>
      </w:r>
      <w:r w:rsidR="00B710E8">
        <w:t>—</w:t>
      </w:r>
      <w:r w:rsidRPr="00904041">
        <w:t>also referred to as the one-tier, one-faculty, or unified faculty model</w:t>
      </w:r>
      <w:r w:rsidR="00B710E8">
        <w:t>—</w:t>
      </w:r>
      <w:r w:rsidRPr="005D0299">
        <w:t xml:space="preserve">emphasizes the elimination of the two employment tiers to create a structure that </w:t>
      </w:r>
      <w:hyperlink r:id="rId12">
        <w:r w:rsidRPr="005D0299">
          <w:t>will better serve students, colleges, and the state of California</w:t>
        </w:r>
      </w:hyperlink>
      <w:r>
        <w:t>,</w:t>
      </w:r>
      <w:r w:rsidRPr="005D0299">
        <w:t xml:space="preserve"> </w:t>
      </w:r>
      <w:r w:rsidR="004713A3">
        <w:t xml:space="preserve">will </w:t>
      </w:r>
      <w:r w:rsidRPr="005D0299">
        <w:t>relieve full</w:t>
      </w:r>
      <w:r w:rsidR="004713A3">
        <w:t>-</w:t>
      </w:r>
      <w:r w:rsidRPr="005D0299">
        <w:t xml:space="preserve">time faculty overburdened by college governance duties </w:t>
      </w:r>
      <w:r w:rsidRPr="00B73CCF">
        <w:t xml:space="preserve">by greatly </w:t>
      </w:r>
      <w:r w:rsidRPr="00B73CCF">
        <w:lastRenderedPageBreak/>
        <w:t xml:space="preserve">increasing the number of faculty </w:t>
      </w:r>
      <w:r w:rsidRPr="00BC0D5C">
        <w:t>available to participate in</w:t>
      </w:r>
      <w:r w:rsidRPr="00B73CCF">
        <w:t xml:space="preserve"> college governance</w:t>
      </w:r>
      <w:r w:rsidRPr="007E6951">
        <w:t xml:space="preserve">, and </w:t>
      </w:r>
      <w:r w:rsidR="004713A3">
        <w:t xml:space="preserve">will </w:t>
      </w:r>
      <w:r w:rsidRPr="007E6951">
        <w:t>support students</w:t>
      </w:r>
      <w:r w:rsidRPr="00B73CCF">
        <w:t xml:space="preserve"> outside of</w:t>
      </w:r>
      <w:r>
        <w:t xml:space="preserve"> </w:t>
      </w:r>
      <w:r w:rsidRPr="007E6951">
        <w:t>instructional hours</w:t>
      </w:r>
      <w:r w:rsidR="004713A3">
        <w:t>;</w:t>
      </w:r>
    </w:p>
    <w:p w14:paraId="0A07E4B8" w14:textId="311DB7FE" w:rsidR="00F475E4" w:rsidRPr="00B73CCF" w:rsidRDefault="00F475E4" w:rsidP="00F475E4">
      <w:pPr>
        <w:spacing w:before="240"/>
      </w:pPr>
      <w:r w:rsidRPr="00B73CCF">
        <w:t xml:space="preserve">Resolved, </w:t>
      </w:r>
      <w:r>
        <w:t>T</w:t>
      </w:r>
      <w:r w:rsidRPr="00B73CCF">
        <w:t xml:space="preserve">hat the Academic Senate for California Community Colleges continue the work called for in </w:t>
      </w:r>
      <w:r w:rsidR="004713A3">
        <w:t>its R</w:t>
      </w:r>
      <w:r w:rsidRPr="00B73CCF">
        <w:t>esolution</w:t>
      </w:r>
      <w:r>
        <w:t xml:space="preserve"> 17.03</w:t>
      </w:r>
      <w:r w:rsidR="004713A3">
        <w:t xml:space="preserve"> F23</w:t>
      </w:r>
      <w:r w:rsidRPr="00B73CCF">
        <w:t xml:space="preserve"> “</w:t>
      </w:r>
      <w:hyperlink r:id="rId13">
        <w:r w:rsidRPr="00B73CCF">
          <w:t>Supporting Equal Rights for Part-time Faculty</w:t>
        </w:r>
      </w:hyperlink>
      <w:r w:rsidRPr="00B73CCF">
        <w:t xml:space="preserve">” </w:t>
      </w:r>
      <w:r>
        <w:t xml:space="preserve">by </w:t>
      </w:r>
      <w:r w:rsidRPr="00C376EF">
        <w:t>prom</w:t>
      </w:r>
      <w:r w:rsidRPr="00B73CCF">
        <w:t xml:space="preserve">oting and supporting legislation enacting the </w:t>
      </w:r>
      <w:r>
        <w:t>U</w:t>
      </w:r>
      <w:r w:rsidRPr="00B73CCF">
        <w:t xml:space="preserve">nited </w:t>
      </w:r>
      <w:r>
        <w:t>F</w:t>
      </w:r>
      <w:r w:rsidRPr="00B73CCF">
        <w:t xml:space="preserve">aculty model for all California </w:t>
      </w:r>
      <w:r>
        <w:t>c</w:t>
      </w:r>
      <w:r w:rsidRPr="00B73CCF">
        <w:t xml:space="preserve">ommunity </w:t>
      </w:r>
      <w:r>
        <w:t>c</w:t>
      </w:r>
      <w:r w:rsidRPr="00B73CCF">
        <w:t>olleges and actively encouraging system-wide changes to ratify the united faculty system;</w:t>
      </w:r>
      <w:r>
        <w:t xml:space="preserve"> </w:t>
      </w:r>
    </w:p>
    <w:p w14:paraId="52AB3897" w14:textId="771E08A3" w:rsidR="00D74A5A" w:rsidRPr="00B73CCF" w:rsidRDefault="00D74A5A" w:rsidP="00D74A5A">
      <w:r w:rsidRPr="00372EA5">
        <w:t>Resolved, That the Academic Senate for California Community Colleges, within its purview</w:t>
      </w:r>
      <w:r w:rsidR="004713A3">
        <w:t xml:space="preserve"> of academic and professional matters</w:t>
      </w:r>
      <w:r w:rsidRPr="00372EA5">
        <w:t>, work in solidarity with the Faculty Association of Califo</w:t>
      </w:r>
      <w:r>
        <w:t>r</w:t>
      </w:r>
      <w:r w:rsidRPr="00372EA5">
        <w:t>nia Community Colleges, the California Part-time Faculty Association</w:t>
      </w:r>
      <w:r w:rsidRPr="007E6951">
        <w:t>, the New Faculty Majority, the</w:t>
      </w:r>
      <w:r w:rsidRPr="00372EA5">
        <w:t xml:space="preserve"> California Federation of Teachers, </w:t>
      </w:r>
      <w:r w:rsidR="004713A3">
        <w:t xml:space="preserve">the </w:t>
      </w:r>
      <w:r w:rsidRPr="00372EA5">
        <w:t xml:space="preserve">Community College Association, and other faculty organizations by endorsing the </w:t>
      </w:r>
      <w:r>
        <w:t>U</w:t>
      </w:r>
      <w:r w:rsidRPr="00372EA5">
        <w:t xml:space="preserve">nited </w:t>
      </w:r>
      <w:r>
        <w:t>F</w:t>
      </w:r>
      <w:r w:rsidRPr="00372EA5">
        <w:t xml:space="preserve">aculty model and encouraging colleges and districts to </w:t>
      </w:r>
      <w:r w:rsidRPr="007E6951">
        <w:t>ensure that all</w:t>
      </w:r>
      <w:r w:rsidRPr="00372EA5">
        <w:t xml:space="preserve"> instructors, regardless of rank or tenure status, have equitable access to </w:t>
      </w:r>
      <w:r w:rsidRPr="007E6951">
        <w:t>some form of basic job security as well as equitable and proportional duties and</w:t>
      </w:r>
      <w:r w:rsidRPr="00372EA5">
        <w:t xml:space="preserve"> development opportunities</w:t>
      </w:r>
      <w:r>
        <w:t xml:space="preserve"> </w:t>
      </w:r>
      <w:r w:rsidRPr="007E6951">
        <w:t>as they are willing and available; and</w:t>
      </w:r>
      <w:r w:rsidRPr="00B73CCF">
        <w:t xml:space="preserve"> </w:t>
      </w:r>
    </w:p>
    <w:p w14:paraId="7937FE3B" w14:textId="563E4827" w:rsidR="00D74A5A" w:rsidRPr="00B73CCF" w:rsidRDefault="00D74A5A" w:rsidP="00D74A5A">
      <w:pPr>
        <w:spacing w:before="240"/>
      </w:pPr>
      <w:r w:rsidRPr="00B73CCF">
        <w:t xml:space="preserve">Resolved, </w:t>
      </w:r>
      <w:r>
        <w:t>T</w:t>
      </w:r>
      <w:r w:rsidRPr="00B73CCF">
        <w:t xml:space="preserve">hat the Academic Senate for California Community Colleges </w:t>
      </w:r>
      <w:r>
        <w:t>encourage</w:t>
      </w:r>
      <w:r w:rsidRPr="00B73CCF">
        <w:t xml:space="preserve"> local academic senates to collaborate with local collective bargainin</w:t>
      </w:r>
      <w:r w:rsidRPr="007E6951">
        <w:t xml:space="preserve">g units and advocacy groups to develop campus cultures </w:t>
      </w:r>
      <w:r w:rsidR="004713A3">
        <w:t>that</w:t>
      </w:r>
      <w:r w:rsidR="004713A3" w:rsidRPr="007E6951">
        <w:t xml:space="preserve"> </w:t>
      </w:r>
      <w:r w:rsidRPr="007E6951">
        <w:t>seek out all faculty voices and provide</w:t>
      </w:r>
      <w:r w:rsidRPr="00B73CCF">
        <w:t xml:space="preserve"> equal access to </w:t>
      </w:r>
      <w:r w:rsidRPr="007E6951">
        <w:t>compensated opportunities</w:t>
      </w:r>
      <w:r w:rsidRPr="00B73CCF">
        <w:t xml:space="preserve"> in curriculum development, </w:t>
      </w:r>
      <w:r w:rsidRPr="007E6951">
        <w:t>participatory governance</w:t>
      </w:r>
      <w:r w:rsidRPr="00B73CCF">
        <w:t xml:space="preserve"> roles, professional development, and institutional planning for those part-time faculty who wish to engage in such work.</w:t>
      </w:r>
    </w:p>
    <w:p w14:paraId="06C01AF2" w14:textId="77777777" w:rsidR="00F475E4" w:rsidRDefault="00F475E4" w:rsidP="00F475E4">
      <w:pPr>
        <w:spacing w:before="240" w:line="240" w:lineRule="auto"/>
      </w:pPr>
      <w:r w:rsidRPr="00B73CCF">
        <w:t>Contact: Pablo Martin, San Diego Miramar College</w:t>
      </w:r>
      <w:r>
        <w:t>, Area D</w:t>
      </w:r>
    </w:p>
    <w:p w14:paraId="5A650705" w14:textId="0C09BE85" w:rsidR="00CC0B65" w:rsidRDefault="00CC0B65" w:rsidP="00F475E4">
      <w:pPr>
        <w:spacing w:line="240" w:lineRule="auto"/>
      </w:pPr>
      <w:r>
        <w:t>MSC</w:t>
      </w:r>
    </w:p>
    <w:p w14:paraId="5E93A476" w14:textId="6CDEAAC9" w:rsidR="001A6DEA" w:rsidRPr="001A6DEA" w:rsidRDefault="001A6DEA" w:rsidP="00F46FD9">
      <w:pPr>
        <w:pStyle w:val="Heading1"/>
      </w:pPr>
      <w:bookmarkStart w:id="81" w:name="_Toc162362529"/>
      <w:bookmarkStart w:id="82" w:name="_Toc197090183"/>
      <w:r w:rsidRPr="001A6DEA">
        <w:t xml:space="preserve">112 </w:t>
      </w:r>
      <w:r w:rsidR="00FF14AB">
        <w:t>HIRING, MINIMUM QUALIFICATIONS, EQUIVALENCY, AND EVALUATIONS</w:t>
      </w:r>
      <w:bookmarkEnd w:id="81"/>
      <w:bookmarkEnd w:id="82"/>
    </w:p>
    <w:p w14:paraId="38E53B1A" w14:textId="3D7F1BC4" w:rsidR="00274BAB" w:rsidRPr="00E26639" w:rsidRDefault="00274BAB" w:rsidP="00274BAB">
      <w:pPr>
        <w:pStyle w:val="Heading2"/>
      </w:pPr>
      <w:bookmarkStart w:id="83" w:name="_Toc179530182"/>
      <w:bookmarkStart w:id="84" w:name="_Toc180489277"/>
      <w:bookmarkStart w:id="85" w:name="_Toc180491594"/>
      <w:bookmarkStart w:id="86" w:name="_Toc181991705"/>
      <w:bookmarkStart w:id="87" w:name="_Toc193947412"/>
      <w:bookmarkStart w:id="88" w:name="_Toc193890613"/>
      <w:bookmarkStart w:id="89" w:name="_Toc195691384"/>
      <w:bookmarkStart w:id="90" w:name="_Toc196496794"/>
      <w:bookmarkStart w:id="91" w:name="_Toc196500349"/>
      <w:bookmarkStart w:id="92" w:name="_Toc197090184"/>
      <w:r w:rsidRPr="00E26639">
        <w:t xml:space="preserve">112.01 S25 </w:t>
      </w:r>
      <w:bookmarkEnd w:id="83"/>
      <w:bookmarkEnd w:id="84"/>
      <w:bookmarkEnd w:id="85"/>
      <w:bookmarkEnd w:id="86"/>
      <w:r w:rsidRPr="00E26639">
        <w:t>Disciplines List – Art</w:t>
      </w:r>
      <w:bookmarkEnd w:id="87"/>
      <w:bookmarkEnd w:id="88"/>
      <w:bookmarkEnd w:id="89"/>
      <w:bookmarkEnd w:id="90"/>
      <w:bookmarkEnd w:id="91"/>
      <w:bookmarkEnd w:id="92"/>
      <w:r>
        <w:t xml:space="preserve"> </w:t>
      </w:r>
    </w:p>
    <w:p w14:paraId="4D19255E" w14:textId="77777777" w:rsidR="00274BAB" w:rsidRPr="00EE59C8" w:rsidRDefault="00274BAB" w:rsidP="00274BAB">
      <w:pPr>
        <w:pStyle w:val="NormalWeb"/>
        <w:shd w:val="clear" w:color="auto" w:fill="FFFFFF" w:themeFill="background1"/>
        <w:rPr>
          <w:rFonts w:ascii="Calibri" w:hAnsi="Calibri" w:cs="Calibri"/>
          <w:color w:val="0A0A0A"/>
        </w:rPr>
      </w:pPr>
      <w:r w:rsidRPr="00EE59C8">
        <w:rPr>
          <w:rFonts w:ascii="Calibri" w:hAnsi="Calibri" w:cs="Calibri"/>
          <w:color w:val="0A0A0A"/>
        </w:rPr>
        <w:t>Whereas, Oral and written testimony given through the consultation process used for the review of </w:t>
      </w:r>
      <w:r w:rsidRPr="00EE59C8">
        <w:rPr>
          <w:rStyle w:val="Emphasis"/>
          <w:rFonts w:ascii="Calibri" w:eastAsiaTheme="majorEastAsia" w:hAnsi="Calibri" w:cs="Calibri"/>
          <w:color w:val="0A0A0A"/>
        </w:rPr>
        <w:t>Minimum Qualifications for Faculty and Administrators in California Community Colleges</w:t>
      </w:r>
      <w:r w:rsidRPr="00EE59C8">
        <w:rPr>
          <w:rFonts w:ascii="Calibri" w:hAnsi="Calibri" w:cs="Calibri"/>
          <w:color w:val="0A0A0A"/>
        </w:rPr>
        <w:t>, also known as the Disciplines List, supported the following revision of the art discipline:</w:t>
      </w:r>
    </w:p>
    <w:p w14:paraId="58BB6794" w14:textId="77777777" w:rsidR="00274BAB" w:rsidRPr="00EE59C8" w:rsidRDefault="00274BAB" w:rsidP="00274BAB">
      <w:pPr>
        <w:pStyle w:val="NormalWeb"/>
        <w:shd w:val="clear" w:color="auto" w:fill="FFFFFF" w:themeFill="background1"/>
        <w:ind w:left="720"/>
        <w:rPr>
          <w:rFonts w:ascii="Calibri" w:hAnsi="Calibri" w:cs="Calibri"/>
        </w:rPr>
      </w:pPr>
      <w:r w:rsidRPr="00EE59C8">
        <w:rPr>
          <w:rFonts w:ascii="Calibri" w:hAnsi="Calibri" w:cs="Calibri"/>
        </w:rPr>
        <w:t xml:space="preserve">Master’s in fine arts, or art, </w:t>
      </w:r>
      <w:r w:rsidRPr="00EE59C8">
        <w:rPr>
          <w:rFonts w:ascii="Calibri" w:hAnsi="Calibri" w:cs="Calibri"/>
          <w:strike/>
        </w:rPr>
        <w:t>or art history</w:t>
      </w:r>
      <w:r w:rsidRPr="00EE59C8">
        <w:rPr>
          <w:rFonts w:ascii="Calibri" w:hAnsi="Calibri" w:cs="Calibri"/>
        </w:rPr>
        <w:t xml:space="preserve"> </w:t>
      </w:r>
    </w:p>
    <w:p w14:paraId="28819034" w14:textId="77777777" w:rsidR="00274BAB" w:rsidRPr="00EE59C8" w:rsidRDefault="00274BAB" w:rsidP="00274BAB">
      <w:pPr>
        <w:pStyle w:val="NormalWeb"/>
        <w:shd w:val="clear" w:color="auto" w:fill="FFFFFF" w:themeFill="background1"/>
        <w:ind w:left="720"/>
        <w:rPr>
          <w:rFonts w:ascii="Calibri" w:hAnsi="Calibri" w:cs="Calibri"/>
        </w:rPr>
      </w:pPr>
      <w:r w:rsidRPr="00EE59C8">
        <w:rPr>
          <w:rFonts w:ascii="Calibri" w:hAnsi="Calibri" w:cs="Calibri"/>
        </w:rPr>
        <w:t xml:space="preserve">OR </w:t>
      </w:r>
    </w:p>
    <w:p w14:paraId="0D85E2E6" w14:textId="77777777" w:rsidR="00274BAB" w:rsidRPr="00EE59C8" w:rsidRDefault="00274BAB" w:rsidP="00274BAB">
      <w:pPr>
        <w:pStyle w:val="NormalWeb"/>
        <w:shd w:val="clear" w:color="auto" w:fill="FFFFFF" w:themeFill="background1"/>
        <w:ind w:left="720"/>
        <w:rPr>
          <w:rFonts w:ascii="Calibri" w:hAnsi="Calibri" w:cs="Calibri"/>
        </w:rPr>
      </w:pPr>
      <w:r w:rsidRPr="00EE59C8">
        <w:rPr>
          <w:rFonts w:ascii="Calibri" w:hAnsi="Calibri" w:cs="Calibri"/>
        </w:rPr>
        <w:t xml:space="preserve">Bachelor’s in any of the above AND Master’s in </w:t>
      </w:r>
      <w:r w:rsidRPr="00EE59C8">
        <w:rPr>
          <w:rFonts w:ascii="Calibri" w:hAnsi="Calibri" w:cs="Calibri"/>
          <w:strike/>
        </w:rPr>
        <w:t>humanities</w:t>
      </w:r>
      <w:r w:rsidRPr="00EE59C8">
        <w:rPr>
          <w:rFonts w:ascii="Calibri" w:hAnsi="Calibri" w:cs="Calibri"/>
        </w:rPr>
        <w:t xml:space="preserve"> </w:t>
      </w:r>
      <w:r w:rsidRPr="00EE59C8">
        <w:rPr>
          <w:rFonts w:ascii="Calibri" w:hAnsi="Calibri" w:cs="Calibri"/>
          <w:i/>
          <w:iCs/>
          <w:u w:val="single"/>
        </w:rPr>
        <w:t>art history</w:t>
      </w:r>
      <w:r w:rsidRPr="00EE59C8">
        <w:rPr>
          <w:rFonts w:ascii="Calibri" w:hAnsi="Calibri" w:cs="Calibri"/>
        </w:rPr>
        <w:t xml:space="preserve">. </w:t>
      </w:r>
    </w:p>
    <w:p w14:paraId="645E5A62" w14:textId="77777777" w:rsidR="00274BAB" w:rsidRPr="00EE59C8" w:rsidRDefault="00274BAB" w:rsidP="00274BAB">
      <w:pPr>
        <w:pStyle w:val="NormalWeb"/>
        <w:shd w:val="clear" w:color="auto" w:fill="FFFFFF" w:themeFill="background1"/>
        <w:ind w:left="720"/>
        <w:rPr>
          <w:rFonts w:ascii="Calibri" w:hAnsi="Calibri" w:cs="Calibri"/>
        </w:rPr>
      </w:pPr>
      <w:r w:rsidRPr="00EE59C8">
        <w:rPr>
          <w:rFonts w:ascii="Calibri" w:hAnsi="Calibri" w:cs="Calibri"/>
        </w:rPr>
        <w:t xml:space="preserve">OR </w:t>
      </w:r>
    </w:p>
    <w:p w14:paraId="12BE50B9" w14:textId="77777777" w:rsidR="00274BAB" w:rsidRPr="00EE59C8" w:rsidRDefault="00274BAB" w:rsidP="00274BAB">
      <w:pPr>
        <w:pStyle w:val="NormalWeb"/>
        <w:shd w:val="clear" w:color="auto" w:fill="FFFFFF" w:themeFill="background1"/>
        <w:ind w:left="720"/>
        <w:rPr>
          <w:rFonts w:ascii="Calibri" w:hAnsi="Calibri" w:cs="Calibri"/>
        </w:rPr>
      </w:pPr>
      <w:r w:rsidRPr="00EE59C8">
        <w:rPr>
          <w:rFonts w:ascii="Calibri" w:hAnsi="Calibri" w:cs="Calibri"/>
        </w:rPr>
        <w:lastRenderedPageBreak/>
        <w:t xml:space="preserve">the equivalent </w:t>
      </w:r>
    </w:p>
    <w:p w14:paraId="2A2B8AFF" w14:textId="77777777" w:rsidR="00274BAB" w:rsidRPr="00EE59C8" w:rsidRDefault="00274BAB" w:rsidP="00274BAB">
      <w:pPr>
        <w:pStyle w:val="NormalWeb"/>
        <w:shd w:val="clear" w:color="auto" w:fill="FFFFFF" w:themeFill="background1"/>
        <w:ind w:left="720"/>
        <w:rPr>
          <w:rFonts w:ascii="Calibri" w:hAnsi="Calibri" w:cs="Calibri"/>
          <w:color w:val="0A0A0A"/>
        </w:rPr>
      </w:pPr>
      <w:r w:rsidRPr="00EE59C8">
        <w:rPr>
          <w:rFonts w:ascii="Calibri" w:hAnsi="Calibri" w:cs="Calibri"/>
        </w:rPr>
        <w:t xml:space="preserve">(NOTE: “Master’s in fine arts” as used here refers to any master’s degree in the subject matter of fine arts, which is defined to include visual studio arts such as drawing, painting, sculpture, printmaking, ceramics, textiles, and metal and jewelry art; and also art education and art therapy. It does not refer to the “Master of Fine Arts” (MFA) degree when that degree is based on specialization in performing arts or dance, film, creative writing or other </w:t>
      </w:r>
      <w:proofErr w:type="spellStart"/>
      <w:r w:rsidRPr="00EE59C8">
        <w:rPr>
          <w:rFonts w:ascii="Calibri" w:hAnsi="Calibri" w:cs="Calibri"/>
        </w:rPr>
        <w:t>nonplastic</w:t>
      </w:r>
      <w:proofErr w:type="spellEnd"/>
      <w:r w:rsidRPr="00EE59C8">
        <w:rPr>
          <w:rFonts w:ascii="Calibri" w:hAnsi="Calibri" w:cs="Calibri"/>
        </w:rPr>
        <w:t xml:space="preserve"> arts.); and</w:t>
      </w:r>
    </w:p>
    <w:p w14:paraId="63801E8B" w14:textId="77777777" w:rsidR="00274BAB" w:rsidRPr="00EE59C8" w:rsidRDefault="00274BAB" w:rsidP="00274BAB">
      <w:pPr>
        <w:pStyle w:val="NormalWeb"/>
        <w:shd w:val="clear" w:color="auto" w:fill="FFFFFF" w:themeFill="background1"/>
        <w:rPr>
          <w:rFonts w:ascii="Calibri" w:hAnsi="Calibri" w:cs="Calibri"/>
          <w:color w:val="0A0A0A"/>
        </w:rPr>
      </w:pPr>
      <w:r w:rsidRPr="00EE59C8">
        <w:rPr>
          <w:rFonts w:ascii="Calibri" w:hAnsi="Calibri" w:cs="Calibri"/>
          <w:color w:val="0A0A0A"/>
        </w:rPr>
        <w:t>Whereas, The Executive Committee of the Academic Senate for California Community Colleges has reviewed the proposal and deemed that the process outlined in the </w:t>
      </w:r>
      <w:r w:rsidRPr="00EE59C8">
        <w:rPr>
          <w:rStyle w:val="Emphasis"/>
          <w:rFonts w:ascii="Calibri" w:eastAsiaTheme="majorEastAsia" w:hAnsi="Calibri" w:cs="Calibri"/>
          <w:color w:val="0A0A0A"/>
        </w:rPr>
        <w:t>Disciplines List Revision Handbook</w:t>
      </w:r>
      <w:r w:rsidRPr="00EE59C8">
        <w:rPr>
          <w:rFonts w:ascii="Calibri" w:hAnsi="Calibri" w:cs="Calibri"/>
          <w:color w:val="0A0A0A"/>
        </w:rPr>
        <w:t> was followed;</w:t>
      </w:r>
    </w:p>
    <w:p w14:paraId="4520A665" w14:textId="77777777" w:rsidR="00274BAB" w:rsidRPr="00EE59C8" w:rsidRDefault="00274BAB" w:rsidP="00274BAB">
      <w:pPr>
        <w:pStyle w:val="NormalWeb"/>
        <w:shd w:val="clear" w:color="auto" w:fill="FFFFFF" w:themeFill="background1"/>
        <w:rPr>
          <w:rFonts w:ascii="Calibri" w:hAnsi="Calibri" w:cs="Calibri"/>
          <w:color w:val="0A0A0A"/>
        </w:rPr>
      </w:pPr>
      <w:r w:rsidRPr="00EE59C8">
        <w:rPr>
          <w:rFonts w:ascii="Calibri" w:hAnsi="Calibri" w:cs="Calibri"/>
          <w:color w:val="0A0A0A"/>
        </w:rPr>
        <w:t>Resolved, That the Academic Senate for California Community Colleges recommend that the California Community Colleges Board of Governors adopt the proposed revision to the Disciplines List for art.</w:t>
      </w:r>
    </w:p>
    <w:p w14:paraId="109C39C0" w14:textId="77777777" w:rsidR="00274BAB" w:rsidRPr="0055037B" w:rsidRDefault="00274BAB" w:rsidP="00274BAB">
      <w:pPr>
        <w:rPr>
          <w:rFonts w:ascii="Calibri" w:hAnsi="Calibri" w:cs="Calibri"/>
          <w:szCs w:val="24"/>
        </w:rPr>
      </w:pPr>
      <w:r w:rsidRPr="0055037B">
        <w:rPr>
          <w:rFonts w:ascii="Calibri" w:hAnsi="Calibri" w:cs="Calibri"/>
          <w:szCs w:val="24"/>
        </w:rPr>
        <w:t>Contact: Christopher J. Howerton, ASCCC Executive Committee</w:t>
      </w:r>
    </w:p>
    <w:p w14:paraId="7ED599CD" w14:textId="079F9F31" w:rsidR="00274BAB" w:rsidRPr="0055037B" w:rsidRDefault="00274BAB" w:rsidP="00274BAB">
      <w:pPr>
        <w:rPr>
          <w:rFonts w:ascii="Calibri" w:hAnsi="Calibri" w:cs="Calibri"/>
          <w:szCs w:val="24"/>
        </w:rPr>
      </w:pPr>
      <w:r w:rsidRPr="0055037B">
        <w:rPr>
          <w:rFonts w:ascii="Calibri" w:hAnsi="Calibri" w:cs="Calibri"/>
          <w:szCs w:val="24"/>
        </w:rPr>
        <w:t>MS</w:t>
      </w:r>
      <w:r w:rsidR="003202F9" w:rsidRPr="0055037B">
        <w:rPr>
          <w:rFonts w:ascii="Calibri" w:hAnsi="Calibri" w:cs="Calibri"/>
          <w:szCs w:val="24"/>
        </w:rPr>
        <w:t>U</w:t>
      </w:r>
    </w:p>
    <w:p w14:paraId="5460320C" w14:textId="7FC7675C" w:rsidR="00274BAB" w:rsidRPr="00E26639" w:rsidRDefault="00274BAB" w:rsidP="003202F9">
      <w:pPr>
        <w:pStyle w:val="Heading2"/>
      </w:pPr>
      <w:bookmarkStart w:id="93" w:name="_Toc193947413"/>
      <w:bookmarkStart w:id="94" w:name="_Toc193890614"/>
      <w:bookmarkStart w:id="95" w:name="_Toc195691385"/>
      <w:bookmarkStart w:id="96" w:name="_Toc196496795"/>
      <w:bookmarkStart w:id="97" w:name="_Toc196500350"/>
      <w:bookmarkStart w:id="98" w:name="_Toc197090185"/>
      <w:r>
        <w:t>112.02 S25 Disciplines List – Physical Education (Adapted)</w:t>
      </w:r>
      <w:bookmarkEnd w:id="93"/>
      <w:bookmarkEnd w:id="94"/>
      <w:bookmarkEnd w:id="95"/>
      <w:bookmarkEnd w:id="96"/>
      <w:bookmarkEnd w:id="97"/>
      <w:bookmarkEnd w:id="98"/>
    </w:p>
    <w:p w14:paraId="096CD226" w14:textId="77777777" w:rsidR="00274BAB" w:rsidRPr="00EE59C8" w:rsidRDefault="00274BAB" w:rsidP="00274BAB">
      <w:pPr>
        <w:pStyle w:val="NormalWeb"/>
        <w:shd w:val="clear" w:color="auto" w:fill="FFFFFF" w:themeFill="background1"/>
        <w:rPr>
          <w:rFonts w:ascii="Calibri" w:hAnsi="Calibri" w:cs="Calibri"/>
          <w:color w:val="0A0A0A"/>
        </w:rPr>
      </w:pPr>
      <w:r w:rsidRPr="00EE59C8">
        <w:rPr>
          <w:rFonts w:ascii="Calibri" w:hAnsi="Calibri" w:cs="Calibri"/>
          <w:color w:val="0A0A0A"/>
        </w:rPr>
        <w:t>Whereas, Oral and written testimony given through the consultation process used for the review of </w:t>
      </w:r>
      <w:r w:rsidRPr="00EE59C8">
        <w:rPr>
          <w:rStyle w:val="Emphasis"/>
          <w:rFonts w:ascii="Calibri" w:eastAsiaTheme="majorEastAsia" w:hAnsi="Calibri" w:cs="Calibri"/>
          <w:color w:val="0A0A0A"/>
        </w:rPr>
        <w:t>Minimum Qualifications for Faculty and Administrators in California Community Colleges</w:t>
      </w:r>
      <w:r w:rsidRPr="00EE59C8">
        <w:rPr>
          <w:rFonts w:ascii="Calibri" w:hAnsi="Calibri" w:cs="Calibri"/>
          <w:color w:val="0A0A0A"/>
        </w:rPr>
        <w:t>, also known as the Disciplines List, supported the following revision of the physical education (Adapted) discipline:</w:t>
      </w:r>
    </w:p>
    <w:p w14:paraId="2EC6C2D7" w14:textId="77777777" w:rsidR="00274BAB" w:rsidRPr="00EE59C8" w:rsidRDefault="00274BAB" w:rsidP="00274BAB">
      <w:pPr>
        <w:pStyle w:val="NormalWeb"/>
        <w:shd w:val="clear" w:color="auto" w:fill="FFFFFF" w:themeFill="background1"/>
        <w:ind w:left="720"/>
        <w:rPr>
          <w:rFonts w:ascii="Calibri" w:hAnsi="Calibri" w:cs="Calibri"/>
        </w:rPr>
      </w:pPr>
      <w:r w:rsidRPr="00EE59C8">
        <w:rPr>
          <w:rFonts w:ascii="Calibri" w:hAnsi="Calibri" w:cs="Calibri"/>
        </w:rPr>
        <w:t xml:space="preserve">Master’s in physical education, exercise science, education with an emphasis in physical education, kinesiology, physiology of exercise, </w:t>
      </w:r>
      <w:r w:rsidRPr="00EE59C8">
        <w:rPr>
          <w:rFonts w:ascii="Calibri" w:hAnsi="Calibri" w:cs="Calibri"/>
          <w:strike/>
        </w:rPr>
        <w:t>adaptive</w:t>
      </w:r>
      <w:r w:rsidRPr="00EE59C8">
        <w:rPr>
          <w:rFonts w:ascii="Calibri" w:hAnsi="Calibri" w:cs="Calibri"/>
        </w:rPr>
        <w:t xml:space="preserve"> </w:t>
      </w:r>
      <w:r w:rsidRPr="00EE59C8">
        <w:rPr>
          <w:rFonts w:ascii="Calibri" w:hAnsi="Calibri" w:cs="Calibri"/>
          <w:i/>
          <w:iCs/>
        </w:rPr>
        <w:t>adapt</w:t>
      </w:r>
      <w:r w:rsidRPr="00EE59C8">
        <w:rPr>
          <w:rFonts w:ascii="Calibri" w:hAnsi="Calibri" w:cs="Calibri"/>
          <w:i/>
          <w:iCs/>
          <w:u w:val="single"/>
        </w:rPr>
        <w:t>ed</w:t>
      </w:r>
      <w:r w:rsidRPr="00EE59C8">
        <w:rPr>
          <w:rFonts w:ascii="Calibri" w:hAnsi="Calibri" w:cs="Calibri"/>
        </w:rPr>
        <w:t xml:space="preserve"> physical education </w:t>
      </w:r>
    </w:p>
    <w:p w14:paraId="1A2D6D14" w14:textId="77777777" w:rsidR="00274BAB" w:rsidRPr="00EE59C8" w:rsidRDefault="00274BAB" w:rsidP="00274BAB">
      <w:pPr>
        <w:pStyle w:val="NormalWeb"/>
        <w:shd w:val="clear" w:color="auto" w:fill="FFFFFF" w:themeFill="background1"/>
        <w:ind w:left="720"/>
        <w:rPr>
          <w:rFonts w:ascii="Calibri" w:hAnsi="Calibri" w:cs="Calibri"/>
        </w:rPr>
      </w:pPr>
      <w:r w:rsidRPr="00EE59C8">
        <w:rPr>
          <w:rFonts w:ascii="Calibri" w:hAnsi="Calibri" w:cs="Calibri"/>
        </w:rPr>
        <w:t xml:space="preserve">OR </w:t>
      </w:r>
    </w:p>
    <w:p w14:paraId="5BBE49DE" w14:textId="77777777" w:rsidR="00274BAB" w:rsidRPr="00EE59C8" w:rsidRDefault="00274BAB" w:rsidP="00274BAB">
      <w:pPr>
        <w:pStyle w:val="NormalWeb"/>
        <w:shd w:val="clear" w:color="auto" w:fill="FFFFFF" w:themeFill="background1"/>
        <w:ind w:left="720"/>
        <w:rPr>
          <w:rFonts w:ascii="Calibri" w:hAnsi="Calibri" w:cs="Calibri"/>
        </w:rPr>
      </w:pPr>
      <w:r w:rsidRPr="00EE59C8">
        <w:rPr>
          <w:rFonts w:ascii="Calibri" w:hAnsi="Calibri" w:cs="Calibri"/>
        </w:rPr>
        <w:t xml:space="preserve">Bachelor’s in any of the above AND masters in any life science, dance, physiology, health education, recreation administration or physical therapy </w:t>
      </w:r>
    </w:p>
    <w:p w14:paraId="2E24ACEE" w14:textId="77777777" w:rsidR="00274BAB" w:rsidRPr="00EE59C8" w:rsidRDefault="00274BAB" w:rsidP="00274BAB">
      <w:pPr>
        <w:pStyle w:val="NormalWeb"/>
        <w:shd w:val="clear" w:color="auto" w:fill="FFFFFF" w:themeFill="background1"/>
        <w:ind w:left="720"/>
        <w:rPr>
          <w:rFonts w:ascii="Calibri" w:hAnsi="Calibri" w:cs="Calibri"/>
        </w:rPr>
      </w:pPr>
      <w:r w:rsidRPr="00EE59C8">
        <w:rPr>
          <w:rFonts w:ascii="Calibri" w:hAnsi="Calibri" w:cs="Calibri"/>
        </w:rPr>
        <w:t xml:space="preserve">OR </w:t>
      </w:r>
    </w:p>
    <w:p w14:paraId="500AF3C9" w14:textId="77777777" w:rsidR="00274BAB" w:rsidRPr="00EE59C8" w:rsidRDefault="00274BAB" w:rsidP="00274BAB">
      <w:pPr>
        <w:pStyle w:val="NormalWeb"/>
        <w:shd w:val="clear" w:color="auto" w:fill="FFFFFF" w:themeFill="background1"/>
        <w:ind w:left="720"/>
        <w:rPr>
          <w:rFonts w:ascii="Calibri" w:hAnsi="Calibri" w:cs="Calibri"/>
        </w:rPr>
      </w:pPr>
      <w:r w:rsidRPr="00EE59C8">
        <w:rPr>
          <w:rFonts w:ascii="Calibri" w:hAnsi="Calibri" w:cs="Calibri"/>
        </w:rPr>
        <w:t xml:space="preserve">the equivalent AND 15 semester units of upper division or graduate study </w:t>
      </w:r>
      <w:r w:rsidRPr="00EE59C8">
        <w:rPr>
          <w:rFonts w:ascii="Calibri" w:hAnsi="Calibri" w:cs="Calibri"/>
          <w:strike/>
        </w:rPr>
        <w:t xml:space="preserve">in </w:t>
      </w:r>
      <w:r w:rsidRPr="00EE59C8">
        <w:rPr>
          <w:rFonts w:ascii="Calibri" w:hAnsi="Calibri" w:cs="Calibri"/>
          <w:i/>
          <w:iCs/>
          <w:u w:val="single"/>
        </w:rPr>
        <w:t>related to</w:t>
      </w:r>
      <w:r w:rsidRPr="00EE59C8">
        <w:rPr>
          <w:rFonts w:ascii="Calibri" w:hAnsi="Calibri" w:cs="Calibri"/>
        </w:rPr>
        <w:t xml:space="preserve"> adapted physical education; and</w:t>
      </w:r>
    </w:p>
    <w:p w14:paraId="4F37513E" w14:textId="77777777" w:rsidR="00274BAB" w:rsidRPr="00EE59C8" w:rsidRDefault="00274BAB" w:rsidP="00274BAB">
      <w:pPr>
        <w:pStyle w:val="NormalWeb"/>
        <w:shd w:val="clear" w:color="auto" w:fill="FFFFFF" w:themeFill="background1"/>
        <w:rPr>
          <w:rFonts w:ascii="Calibri" w:hAnsi="Calibri" w:cs="Calibri"/>
          <w:color w:val="0A0A0A"/>
        </w:rPr>
      </w:pPr>
      <w:r w:rsidRPr="00EE59C8">
        <w:rPr>
          <w:rFonts w:ascii="Calibri" w:hAnsi="Calibri" w:cs="Calibri"/>
          <w:color w:val="0A0A0A"/>
        </w:rPr>
        <w:t>Whereas, The Executive Committee of the Academic Senate for California Community Colleges has reviewed the proposal and deemed that the process outlined in the </w:t>
      </w:r>
      <w:r w:rsidRPr="00EE59C8">
        <w:rPr>
          <w:rStyle w:val="Emphasis"/>
          <w:rFonts w:ascii="Calibri" w:eastAsiaTheme="majorEastAsia" w:hAnsi="Calibri" w:cs="Calibri"/>
          <w:color w:val="0A0A0A"/>
        </w:rPr>
        <w:t>Disciplines List Revision Handbook</w:t>
      </w:r>
      <w:r w:rsidRPr="00EE59C8">
        <w:rPr>
          <w:rFonts w:ascii="Calibri" w:hAnsi="Calibri" w:cs="Calibri"/>
          <w:color w:val="0A0A0A"/>
        </w:rPr>
        <w:t> was followed;</w:t>
      </w:r>
    </w:p>
    <w:p w14:paraId="18348E98" w14:textId="77777777" w:rsidR="00274BAB" w:rsidRPr="00EE59C8" w:rsidRDefault="00274BAB" w:rsidP="00274BAB">
      <w:pPr>
        <w:pStyle w:val="NormalWeb"/>
        <w:shd w:val="clear" w:color="auto" w:fill="FFFFFF" w:themeFill="background1"/>
        <w:rPr>
          <w:rFonts w:ascii="Calibri" w:hAnsi="Calibri" w:cs="Calibri"/>
          <w:color w:val="0A0A0A"/>
        </w:rPr>
      </w:pPr>
      <w:r w:rsidRPr="00EE59C8">
        <w:rPr>
          <w:rFonts w:ascii="Calibri" w:hAnsi="Calibri" w:cs="Calibri"/>
          <w:color w:val="0A0A0A"/>
        </w:rPr>
        <w:lastRenderedPageBreak/>
        <w:t>Resolved, That the Academic Senate for California Community Colleges recommend that the California Community Colleges Board of Governors adopt the proposed revision to the Disciplines List for physical education (adapted).</w:t>
      </w:r>
    </w:p>
    <w:p w14:paraId="3B535D34" w14:textId="334F133E" w:rsidR="007E0237" w:rsidRPr="0055037B" w:rsidRDefault="00274BAB" w:rsidP="00274BAB">
      <w:pPr>
        <w:rPr>
          <w:szCs w:val="24"/>
        </w:rPr>
      </w:pPr>
      <w:r w:rsidRPr="0055037B">
        <w:rPr>
          <w:rFonts w:ascii="Calibri" w:hAnsi="Calibri" w:cs="Calibri"/>
          <w:szCs w:val="24"/>
        </w:rPr>
        <w:t>Contact: Christopher J. Howerton, ASCCC Executive Committee</w:t>
      </w:r>
    </w:p>
    <w:p w14:paraId="387BC4FE" w14:textId="11AAD433" w:rsidR="003202F9" w:rsidRPr="0055037B" w:rsidRDefault="003202F9" w:rsidP="001A6DEA">
      <w:pPr>
        <w:rPr>
          <w:szCs w:val="24"/>
        </w:rPr>
      </w:pPr>
      <w:r w:rsidRPr="0055037B">
        <w:rPr>
          <w:szCs w:val="24"/>
        </w:rPr>
        <w:t>MSU</w:t>
      </w:r>
    </w:p>
    <w:p w14:paraId="3231970F" w14:textId="77777777" w:rsidR="00D27A34" w:rsidRPr="00E26639" w:rsidRDefault="00D27A34" w:rsidP="00D27A34">
      <w:pPr>
        <w:pStyle w:val="Heading2"/>
      </w:pPr>
      <w:bookmarkStart w:id="99" w:name="_Toc193947414"/>
      <w:bookmarkStart w:id="100" w:name="_Toc193890615"/>
      <w:bookmarkStart w:id="101" w:name="_Toc195691386"/>
      <w:bookmarkStart w:id="102" w:name="_Toc196496796"/>
      <w:bookmarkStart w:id="103" w:name="_Toc196500351"/>
      <w:bookmarkStart w:id="104" w:name="_Toc197090186"/>
      <w:r w:rsidRPr="00E26639">
        <w:t>112.03 S25 Disciplines List – Brewing, Fermentation, and Distillery Sciences</w:t>
      </w:r>
      <w:bookmarkEnd w:id="99"/>
      <w:bookmarkEnd w:id="100"/>
      <w:bookmarkEnd w:id="101"/>
      <w:bookmarkEnd w:id="102"/>
      <w:bookmarkEnd w:id="103"/>
      <w:bookmarkEnd w:id="104"/>
    </w:p>
    <w:p w14:paraId="337CF87C" w14:textId="77777777" w:rsidR="00D27A34" w:rsidRPr="00EE59C8" w:rsidRDefault="00D27A34" w:rsidP="00D27A34">
      <w:pPr>
        <w:pStyle w:val="NormalWeb"/>
        <w:shd w:val="clear" w:color="auto" w:fill="FFFFFF" w:themeFill="background1"/>
        <w:rPr>
          <w:rFonts w:ascii="Calibri" w:hAnsi="Calibri" w:cs="Calibri"/>
          <w:color w:val="0A0A0A"/>
        </w:rPr>
      </w:pPr>
      <w:r w:rsidRPr="00EE59C8">
        <w:rPr>
          <w:rFonts w:ascii="Calibri" w:hAnsi="Calibri" w:cs="Calibri"/>
          <w:color w:val="0A0A0A"/>
        </w:rPr>
        <w:t>Whereas, Oral and written testimony given through the consultation process used for the review of </w:t>
      </w:r>
      <w:r w:rsidRPr="00EE59C8">
        <w:rPr>
          <w:rStyle w:val="Emphasis"/>
          <w:rFonts w:ascii="Calibri" w:eastAsiaTheme="majorEastAsia" w:hAnsi="Calibri" w:cs="Calibri"/>
          <w:color w:val="0A0A0A"/>
        </w:rPr>
        <w:t>Minimum Qualifications for Faculty and Administrators in California Community Colleges</w:t>
      </w:r>
      <w:r w:rsidRPr="00EE59C8">
        <w:rPr>
          <w:rFonts w:ascii="Calibri" w:hAnsi="Calibri" w:cs="Calibri"/>
          <w:color w:val="0A0A0A"/>
        </w:rPr>
        <w:t>, also known as the Disciplines List, supported the following addition of the brewing, fermentation, and distillery sciences discipline:</w:t>
      </w:r>
    </w:p>
    <w:p w14:paraId="5C558550" w14:textId="77777777" w:rsidR="00D27A34" w:rsidRPr="00EE59C8" w:rsidRDefault="00D27A34" w:rsidP="00D27A34">
      <w:pPr>
        <w:pStyle w:val="NormalWeb"/>
        <w:shd w:val="clear" w:color="auto" w:fill="FFFFFF" w:themeFill="background1"/>
        <w:ind w:left="720"/>
        <w:rPr>
          <w:rFonts w:ascii="Calibri" w:hAnsi="Calibri" w:cs="Calibri"/>
        </w:rPr>
      </w:pPr>
      <w:r w:rsidRPr="00EE59C8">
        <w:rPr>
          <w:rFonts w:ascii="Calibri" w:hAnsi="Calibri" w:cs="Calibri"/>
        </w:rPr>
        <w:t>Any bachelor’s degree or higher and two years of professional experience,</w:t>
      </w:r>
    </w:p>
    <w:p w14:paraId="57E826DA" w14:textId="77777777" w:rsidR="00D27A34" w:rsidRPr="00EE59C8" w:rsidRDefault="00D27A34" w:rsidP="00D27A34">
      <w:pPr>
        <w:pStyle w:val="NormalWeb"/>
        <w:shd w:val="clear" w:color="auto" w:fill="FFFFFF" w:themeFill="background1"/>
        <w:ind w:left="720"/>
        <w:rPr>
          <w:rFonts w:ascii="Calibri" w:hAnsi="Calibri" w:cs="Calibri"/>
        </w:rPr>
      </w:pPr>
      <w:r w:rsidRPr="00EE59C8">
        <w:rPr>
          <w:rFonts w:ascii="Calibri" w:hAnsi="Calibri" w:cs="Calibri"/>
        </w:rPr>
        <w:t>OR</w:t>
      </w:r>
    </w:p>
    <w:p w14:paraId="00275C68" w14:textId="77777777" w:rsidR="00D27A34" w:rsidRPr="00EE59C8" w:rsidRDefault="00D27A34" w:rsidP="00D27A34">
      <w:pPr>
        <w:pStyle w:val="NormalWeb"/>
        <w:shd w:val="clear" w:color="auto" w:fill="FFFFFF" w:themeFill="background1"/>
        <w:ind w:left="720"/>
        <w:rPr>
          <w:rFonts w:ascii="Calibri" w:hAnsi="Calibri" w:cs="Calibri"/>
        </w:rPr>
      </w:pPr>
      <w:r w:rsidRPr="00EE59C8">
        <w:rPr>
          <w:rFonts w:ascii="Calibri" w:hAnsi="Calibri" w:cs="Calibri"/>
        </w:rPr>
        <w:t>Any associate’s degree and six years of professional experience;  and</w:t>
      </w:r>
    </w:p>
    <w:p w14:paraId="0110A1C8" w14:textId="77777777" w:rsidR="00D27A34" w:rsidRPr="00EE59C8" w:rsidRDefault="00D27A34" w:rsidP="00D27A34">
      <w:pPr>
        <w:pStyle w:val="NormalWeb"/>
        <w:shd w:val="clear" w:color="auto" w:fill="FFFFFF" w:themeFill="background1"/>
        <w:rPr>
          <w:rFonts w:ascii="Calibri" w:hAnsi="Calibri" w:cs="Calibri"/>
          <w:color w:val="0A0A0A"/>
        </w:rPr>
      </w:pPr>
      <w:r w:rsidRPr="00EE59C8">
        <w:rPr>
          <w:rFonts w:ascii="Calibri" w:hAnsi="Calibri" w:cs="Calibri"/>
          <w:color w:val="0A0A0A"/>
        </w:rPr>
        <w:t>Whereas, The Executive Committee of the Academic Senate for California Community Colleges has reviewed the proposal and deemed that the process outlined in the </w:t>
      </w:r>
      <w:r w:rsidRPr="00EE59C8">
        <w:rPr>
          <w:rStyle w:val="Emphasis"/>
          <w:rFonts w:ascii="Calibri" w:eastAsiaTheme="majorEastAsia" w:hAnsi="Calibri" w:cs="Calibri"/>
          <w:color w:val="0A0A0A"/>
        </w:rPr>
        <w:t>Disciplines List Revision Handbook</w:t>
      </w:r>
      <w:r w:rsidRPr="00EE59C8">
        <w:rPr>
          <w:rFonts w:ascii="Calibri" w:hAnsi="Calibri" w:cs="Calibri"/>
          <w:color w:val="0A0A0A"/>
        </w:rPr>
        <w:t> was followed;</w:t>
      </w:r>
    </w:p>
    <w:p w14:paraId="761B1846" w14:textId="77777777" w:rsidR="00D27A34" w:rsidRPr="00EE59C8" w:rsidRDefault="00D27A34" w:rsidP="00D27A34">
      <w:pPr>
        <w:pStyle w:val="NormalWeb"/>
        <w:shd w:val="clear" w:color="auto" w:fill="FFFFFF" w:themeFill="background1"/>
        <w:rPr>
          <w:rFonts w:ascii="Calibri" w:hAnsi="Calibri" w:cs="Calibri"/>
          <w:color w:val="0A0A0A"/>
        </w:rPr>
      </w:pPr>
      <w:r w:rsidRPr="00EE59C8">
        <w:rPr>
          <w:rFonts w:ascii="Calibri" w:hAnsi="Calibri" w:cs="Calibri"/>
          <w:color w:val="0A0A0A"/>
        </w:rPr>
        <w:t>Resolved, That the Academic Senate for California Community Colleges recommend that the California Community Colleges Board of Governors adopt the proposed addition to the Disciplines List for brewing, fermentation, and distillery sciences.</w:t>
      </w:r>
    </w:p>
    <w:p w14:paraId="087F1A80" w14:textId="77777777" w:rsidR="00D27A34" w:rsidRPr="0055037B" w:rsidRDefault="00D27A34" w:rsidP="00D27A34">
      <w:pPr>
        <w:rPr>
          <w:rFonts w:ascii="Calibri" w:hAnsi="Calibri" w:cs="Calibri"/>
          <w:szCs w:val="24"/>
        </w:rPr>
      </w:pPr>
      <w:r w:rsidRPr="0055037B">
        <w:rPr>
          <w:rFonts w:ascii="Calibri" w:hAnsi="Calibri" w:cs="Calibri"/>
          <w:szCs w:val="24"/>
        </w:rPr>
        <w:t>Contact: Christopher J. Howerton, ASCCC Executive Committee</w:t>
      </w:r>
    </w:p>
    <w:p w14:paraId="59408CE1" w14:textId="619B613F" w:rsidR="008A318D" w:rsidRPr="0055037B" w:rsidRDefault="00D27A34" w:rsidP="001A6DEA">
      <w:pPr>
        <w:rPr>
          <w:szCs w:val="24"/>
        </w:rPr>
      </w:pPr>
      <w:r w:rsidRPr="0055037B">
        <w:rPr>
          <w:szCs w:val="24"/>
        </w:rPr>
        <w:t>MSC</w:t>
      </w:r>
    </w:p>
    <w:p w14:paraId="5C0F9834" w14:textId="77777777" w:rsidR="00F36108" w:rsidRPr="005F4405" w:rsidRDefault="00F36108" w:rsidP="00F36108">
      <w:pPr>
        <w:pStyle w:val="Heading2"/>
      </w:pPr>
      <w:bookmarkStart w:id="105" w:name="_Toc197090187"/>
      <w:r>
        <w:t xml:space="preserve">112.04 S25 </w:t>
      </w:r>
      <w:r w:rsidRPr="005F4405">
        <w:t>Update the Paper, “A Re-examination of Faculty Hiring Processes and Procedures”</w:t>
      </w:r>
      <w:bookmarkEnd w:id="105"/>
    </w:p>
    <w:p w14:paraId="5D4EFB13" w14:textId="5EA60065" w:rsidR="00F36108" w:rsidRPr="005F4405" w:rsidRDefault="00F36108" w:rsidP="00F36108">
      <w:pPr>
        <w:spacing w:before="240" w:after="240"/>
        <w:rPr>
          <w:rFonts w:cstheme="minorHAnsi"/>
        </w:rPr>
      </w:pPr>
      <w:r w:rsidRPr="005F4405">
        <w:rPr>
          <w:rFonts w:cstheme="minorHAnsi"/>
        </w:rPr>
        <w:t>Whereas, The Academic Senate for California Community Colleges Faculty Hiring Processes and Procedures Paper</w:t>
      </w:r>
      <w:r w:rsidR="009369FA">
        <w:rPr>
          <w:rFonts w:cstheme="minorHAnsi"/>
        </w:rPr>
        <w:t xml:space="preserve"> </w:t>
      </w:r>
      <w:r w:rsidRPr="00EE59C8">
        <w:rPr>
          <w:rFonts w:cstheme="minorHAnsi"/>
          <w:i/>
          <w:iCs/>
        </w:rPr>
        <w:t>A Re-examination of Faculty Hiring Processes and Procedures</w:t>
      </w:r>
      <w:r w:rsidRPr="005F4405">
        <w:rPr>
          <w:rFonts w:cstheme="minorHAnsi"/>
        </w:rPr>
        <w:t xml:space="preserve"> was originally adopted in 2000 and last revised and adopted in Spring of 2018;</w:t>
      </w:r>
    </w:p>
    <w:p w14:paraId="3A02EF3B" w14:textId="737DC4CA" w:rsidR="00F36108" w:rsidRPr="005F4405" w:rsidRDefault="00F36108" w:rsidP="00F36108">
      <w:pPr>
        <w:spacing w:before="240" w:after="240"/>
        <w:rPr>
          <w:rFonts w:cstheme="minorHAnsi"/>
        </w:rPr>
      </w:pPr>
      <w:r w:rsidRPr="005F4405">
        <w:rPr>
          <w:rFonts w:cstheme="minorHAnsi"/>
        </w:rPr>
        <w:t>Whereas, The 2018 paper references California Community College Chancellor’s Office Equal Employment Opportunity (EEO) Best Practices Handbook that has since been updated in 2022 and is, at the time writing of this resolution, in the process of being updated again;</w:t>
      </w:r>
    </w:p>
    <w:p w14:paraId="1DA0706B" w14:textId="0B9F9FA4" w:rsidR="00F36108" w:rsidRPr="005F4405" w:rsidRDefault="00F36108" w:rsidP="00F36108">
      <w:pPr>
        <w:spacing w:before="240" w:after="240"/>
        <w:rPr>
          <w:rFonts w:cstheme="minorHAnsi"/>
        </w:rPr>
      </w:pPr>
      <w:r w:rsidRPr="005F4405">
        <w:rPr>
          <w:rFonts w:cstheme="minorHAnsi"/>
        </w:rPr>
        <w:t>Whereas, Since the 2018 update of the paper, the Academic Senate for California Community Colleges</w:t>
      </w:r>
      <w:r w:rsidR="00C7283E">
        <w:rPr>
          <w:rFonts w:cstheme="minorHAnsi"/>
        </w:rPr>
        <w:t>,</w:t>
      </w:r>
      <w:r w:rsidRPr="005F4405">
        <w:rPr>
          <w:rFonts w:cstheme="minorHAnsi"/>
        </w:rPr>
        <w:t xml:space="preserve"> in collaboration with system partners</w:t>
      </w:r>
      <w:r w:rsidR="00C7283E">
        <w:rPr>
          <w:rFonts w:cstheme="minorHAnsi"/>
        </w:rPr>
        <w:t>,</w:t>
      </w:r>
      <w:r w:rsidRPr="005F4405">
        <w:rPr>
          <w:rFonts w:cstheme="minorHAnsi"/>
        </w:rPr>
        <w:t xml:space="preserve"> has garnered greater attention to and focus on </w:t>
      </w:r>
      <w:r w:rsidRPr="005F4405">
        <w:rPr>
          <w:rFonts w:cstheme="minorHAnsi"/>
        </w:rPr>
        <w:lastRenderedPageBreak/>
        <w:t xml:space="preserve">faculty diversification and retention by addressing structural racism in California </w:t>
      </w:r>
      <w:r w:rsidR="00C7283E">
        <w:rPr>
          <w:rFonts w:cstheme="minorHAnsi"/>
        </w:rPr>
        <w:t>c</w:t>
      </w:r>
      <w:r w:rsidRPr="005F4405">
        <w:rPr>
          <w:rFonts w:cstheme="minorHAnsi"/>
        </w:rPr>
        <w:t xml:space="preserve">ommunity </w:t>
      </w:r>
      <w:r w:rsidR="00C7283E">
        <w:rPr>
          <w:rFonts w:cstheme="minorHAnsi"/>
        </w:rPr>
        <w:t>c</w:t>
      </w:r>
      <w:r w:rsidRPr="005F4405">
        <w:rPr>
          <w:rFonts w:cstheme="minorHAnsi"/>
        </w:rPr>
        <w:t>olleges, including leading a call to action, contributing to the 2023 EEO 10-Point Plan for Faculty Diversity Hiring, furthering discussions of including</w:t>
      </w:r>
      <w:r>
        <w:rPr>
          <w:rFonts w:cstheme="minorHAnsi"/>
        </w:rPr>
        <w:t xml:space="preserve"> </w:t>
      </w:r>
      <w:r w:rsidRPr="005F4405">
        <w:rPr>
          <w:rFonts w:cstheme="minorHAnsi"/>
        </w:rPr>
        <w:t>student voice in faculty hiring processes, and supporting various innovative and culturally responsive hiring methods that this paper has yet to explore; and</w:t>
      </w:r>
    </w:p>
    <w:p w14:paraId="2F058560" w14:textId="3ED8B08F" w:rsidR="00F36108" w:rsidRPr="005F4405" w:rsidRDefault="00F36108" w:rsidP="00F36108">
      <w:pPr>
        <w:spacing w:before="240" w:after="240"/>
        <w:rPr>
          <w:rFonts w:cstheme="minorHAnsi"/>
        </w:rPr>
      </w:pPr>
      <w:r w:rsidRPr="005F4405">
        <w:rPr>
          <w:rFonts w:cstheme="minorHAnsi"/>
        </w:rPr>
        <w:t xml:space="preserve">Whereas, In 35 of </w:t>
      </w:r>
      <w:r w:rsidR="00C7283E">
        <w:rPr>
          <w:rFonts w:cstheme="minorHAnsi"/>
        </w:rPr>
        <w:t>California</w:t>
      </w:r>
      <w:r w:rsidRPr="005F4405">
        <w:rPr>
          <w:rFonts w:cstheme="minorHAnsi"/>
        </w:rPr>
        <w:t>'s 73 community college districts, part-time faculty make up 70% or more of the instructional faculty</w:t>
      </w:r>
      <w:r w:rsidRPr="005F4405">
        <w:rPr>
          <w:rFonts w:cstheme="minorHAnsi"/>
          <w:vertAlign w:val="superscript"/>
        </w:rPr>
        <w:footnoteReference w:id="31"/>
      </w:r>
      <w:r w:rsidRPr="005F4405">
        <w:rPr>
          <w:rFonts w:cstheme="minorHAnsi"/>
        </w:rPr>
        <w:t>, inviting special attention to part-time faculty hiring policies and procedures, which is not currently addressed in the 2018</w:t>
      </w:r>
      <w:r w:rsidR="00C7283E">
        <w:rPr>
          <w:rFonts w:cstheme="minorHAnsi"/>
        </w:rPr>
        <w:t xml:space="preserve"> paper</w:t>
      </w:r>
      <w:r w:rsidRPr="005F4405">
        <w:rPr>
          <w:rFonts w:cstheme="minorHAnsi"/>
        </w:rPr>
        <w:t xml:space="preserve"> </w:t>
      </w:r>
      <w:r w:rsidRPr="00EE59C8">
        <w:rPr>
          <w:rFonts w:cstheme="minorHAnsi"/>
          <w:i/>
          <w:iCs/>
        </w:rPr>
        <w:t>A Re-examination of Faculty Hiring Processes and Procedures</w:t>
      </w:r>
      <w:r w:rsidRPr="005F4405">
        <w:rPr>
          <w:rFonts w:cstheme="minorHAnsi"/>
        </w:rPr>
        <w:t>;</w:t>
      </w:r>
    </w:p>
    <w:p w14:paraId="01DA78D0" w14:textId="2F99EDCA" w:rsidR="00F36108" w:rsidRPr="005F4405" w:rsidRDefault="00F36108" w:rsidP="00F36108">
      <w:pPr>
        <w:spacing w:before="240" w:after="240"/>
        <w:rPr>
          <w:rFonts w:cstheme="minorHAnsi"/>
        </w:rPr>
      </w:pPr>
      <w:r w:rsidRPr="005F4405">
        <w:rPr>
          <w:rFonts w:cstheme="minorHAnsi"/>
        </w:rPr>
        <w:t>Resolved, That the Academic Senate for California Community Colleges review and update the paper</w:t>
      </w:r>
      <w:r w:rsidR="00C7283E">
        <w:rPr>
          <w:rFonts w:cstheme="minorHAnsi"/>
        </w:rPr>
        <w:t xml:space="preserve"> </w:t>
      </w:r>
      <w:r w:rsidRPr="00EE59C8">
        <w:rPr>
          <w:rFonts w:cstheme="minorHAnsi"/>
          <w:i/>
          <w:iCs/>
        </w:rPr>
        <w:t>A Re-examination of Faculty Hiring Processes and Procedures</w:t>
      </w:r>
      <w:r w:rsidRPr="005F4405">
        <w:rPr>
          <w:rFonts w:cstheme="minorHAnsi"/>
        </w:rPr>
        <w:t>.</w:t>
      </w:r>
    </w:p>
    <w:p w14:paraId="35597B3C" w14:textId="33FA793D" w:rsidR="00F36108" w:rsidRPr="00E26639" w:rsidRDefault="00F36108" w:rsidP="00F36108">
      <w:pPr>
        <w:spacing w:before="240" w:after="240"/>
        <w:rPr>
          <w:rFonts w:ascii="Calibri" w:hAnsi="Calibri" w:cs="Calibri"/>
        </w:rPr>
      </w:pPr>
      <w:r w:rsidRPr="005F4405">
        <w:rPr>
          <w:rFonts w:cstheme="minorHAnsi"/>
        </w:rPr>
        <w:t xml:space="preserve">Contact: Luke Lara, </w:t>
      </w:r>
      <w:r w:rsidR="0029760B" w:rsidRPr="0055037B">
        <w:rPr>
          <w:rFonts w:ascii="Calibri" w:hAnsi="Calibri" w:cs="Calibri"/>
          <w:szCs w:val="24"/>
        </w:rPr>
        <w:t>ASCCC Executive Committee</w:t>
      </w:r>
    </w:p>
    <w:p w14:paraId="76E416A9" w14:textId="20EE9AFC" w:rsidR="003202F9" w:rsidRDefault="005B781C" w:rsidP="001A6DEA">
      <w:r>
        <w:t>MSU</w:t>
      </w:r>
    </w:p>
    <w:p w14:paraId="74B9D86F" w14:textId="7CBC7B01" w:rsidR="007E0237" w:rsidRPr="007E0237" w:rsidRDefault="001A6DEA" w:rsidP="00F46FD9">
      <w:pPr>
        <w:pStyle w:val="Heading1"/>
      </w:pPr>
      <w:bookmarkStart w:id="106" w:name="_Toc162362533"/>
      <w:bookmarkStart w:id="107" w:name="_Toc197090188"/>
      <w:r w:rsidRPr="001A6DEA">
        <w:t xml:space="preserve">113 </w:t>
      </w:r>
      <w:bookmarkEnd w:id="106"/>
      <w:r w:rsidR="00FF14AB">
        <w:t>LEGISLATION AND ADVOCACY</w:t>
      </w:r>
      <w:bookmarkEnd w:id="107"/>
    </w:p>
    <w:p w14:paraId="480EFD91" w14:textId="6DC172B3" w:rsidR="007E54EB" w:rsidRPr="002E4556" w:rsidRDefault="007E54EB" w:rsidP="007E54EB">
      <w:pPr>
        <w:pStyle w:val="Heading2"/>
      </w:pPr>
      <w:bookmarkStart w:id="108" w:name="_Toc197090189"/>
      <w:r>
        <w:t xml:space="preserve">113.01 S25 </w:t>
      </w:r>
      <w:r w:rsidRPr="00F26AE6">
        <w:t>Advocating for a 21st Century Ralph M. Brown Open Meeting</w:t>
      </w:r>
      <w:r w:rsidR="008A11C2">
        <w:t>s</w:t>
      </w:r>
      <w:r w:rsidRPr="00F26AE6">
        <w:t xml:space="preserve"> Act</w:t>
      </w:r>
      <w:bookmarkEnd w:id="108"/>
    </w:p>
    <w:p w14:paraId="022286F6" w14:textId="04A62357" w:rsidR="007E54EB" w:rsidRPr="00F26AE6" w:rsidRDefault="007E54EB" w:rsidP="007E54EB">
      <w:pPr>
        <w:spacing w:before="240"/>
        <w:rPr>
          <w:rFonts w:ascii="Calibri" w:hAnsi="Calibri" w:cs="Calibri"/>
        </w:rPr>
      </w:pPr>
      <w:r w:rsidRPr="00F26AE6">
        <w:rPr>
          <w:rFonts w:ascii="Calibri" w:hAnsi="Calibri" w:cs="Calibri"/>
        </w:rPr>
        <w:t xml:space="preserve">Whereas, </w:t>
      </w:r>
      <w:r>
        <w:rPr>
          <w:rFonts w:ascii="Calibri" w:hAnsi="Calibri" w:cs="Calibri"/>
        </w:rPr>
        <w:t>T</w:t>
      </w:r>
      <w:r w:rsidRPr="00F26AE6">
        <w:rPr>
          <w:rFonts w:ascii="Calibri" w:hAnsi="Calibri" w:cs="Calibri"/>
        </w:rPr>
        <w:t>he Academic Senate for California Community Colleges (ASCCC) has affirmed the value of flexible remote participation in governance through prior resolutions</w:t>
      </w:r>
      <w:r w:rsidR="008A11C2">
        <w:rPr>
          <w:rFonts w:ascii="Calibri" w:hAnsi="Calibri" w:cs="Calibri"/>
        </w:rPr>
        <w:t xml:space="preserve"> such as Resolution 1.04 S22</w:t>
      </w:r>
      <w:r w:rsidRPr="00F26AE6">
        <w:rPr>
          <w:rFonts w:ascii="Calibri" w:hAnsi="Calibri" w:cs="Calibri"/>
        </w:rPr>
        <w:t>, recognizing that faculty and staff have demonstrated success and effectiveness using remote platforms since the COVID-19 pandemic;</w:t>
      </w:r>
    </w:p>
    <w:p w14:paraId="01A03256" w14:textId="049AC0FE" w:rsidR="007E54EB" w:rsidRPr="00F26AE6" w:rsidRDefault="007E54EB" w:rsidP="007E54EB">
      <w:pPr>
        <w:spacing w:before="240"/>
        <w:rPr>
          <w:rFonts w:ascii="Calibri" w:hAnsi="Calibri" w:cs="Calibri"/>
        </w:rPr>
      </w:pPr>
      <w:r w:rsidRPr="00F26AE6">
        <w:rPr>
          <w:rFonts w:ascii="Calibri" w:hAnsi="Calibri" w:cs="Calibri"/>
        </w:rPr>
        <w:t xml:space="preserve">Whereas, </w:t>
      </w:r>
      <w:r>
        <w:rPr>
          <w:rFonts w:ascii="Calibri" w:hAnsi="Calibri" w:cs="Calibri"/>
        </w:rPr>
        <w:t>R</w:t>
      </w:r>
      <w:r w:rsidRPr="00F26AE6">
        <w:rPr>
          <w:rFonts w:ascii="Calibri" w:hAnsi="Calibri" w:cs="Calibri"/>
        </w:rPr>
        <w:t>igid in-person meeting requirements of the Ralph M. Brown Open Meeting</w:t>
      </w:r>
      <w:r w:rsidR="008A11C2">
        <w:rPr>
          <w:rFonts w:ascii="Calibri" w:hAnsi="Calibri" w:cs="Calibri"/>
        </w:rPr>
        <w:t>s</w:t>
      </w:r>
      <w:r w:rsidRPr="00F26AE6">
        <w:rPr>
          <w:rFonts w:ascii="Calibri" w:hAnsi="Calibri" w:cs="Calibri"/>
        </w:rPr>
        <w:t xml:space="preserve"> Act</w:t>
      </w:r>
      <w:r w:rsidR="008A11C2">
        <w:rPr>
          <w:rFonts w:ascii="Calibri" w:hAnsi="Calibri" w:cs="Calibri"/>
        </w:rPr>
        <w:t>,</w:t>
      </w:r>
      <w:r w:rsidRPr="00F26AE6">
        <w:rPr>
          <w:rFonts w:ascii="Calibri" w:hAnsi="Calibri" w:cs="Calibri"/>
        </w:rPr>
        <w:t xml:space="preserve"> including limitations on teleconferencing, posting mandates for private locations, and arbitrary caps on remote attendance</w:t>
      </w:r>
      <w:r w:rsidR="008A11C2">
        <w:rPr>
          <w:rFonts w:ascii="Calibri" w:hAnsi="Calibri" w:cs="Calibri"/>
        </w:rPr>
        <w:t>,</w:t>
      </w:r>
      <w:r w:rsidRPr="00F26AE6">
        <w:rPr>
          <w:rFonts w:ascii="Calibri" w:hAnsi="Calibri" w:cs="Calibri"/>
        </w:rPr>
        <w:t xml:space="preserve"> reflect a workplace structure of a previous generation and do not meet the needs of dynamic, modern academic institutions seeking to expand access, transparency, and participation across geographically diverse and time-constrained constituencies;</w:t>
      </w:r>
    </w:p>
    <w:p w14:paraId="79B7ABBD" w14:textId="74A668EA" w:rsidR="007E54EB" w:rsidRPr="00F26AE6" w:rsidRDefault="007E54EB" w:rsidP="007E54EB">
      <w:pPr>
        <w:spacing w:before="240"/>
        <w:rPr>
          <w:rFonts w:ascii="Calibri" w:hAnsi="Calibri" w:cs="Calibri"/>
        </w:rPr>
      </w:pPr>
      <w:r w:rsidRPr="00F26AE6">
        <w:rPr>
          <w:rFonts w:ascii="Calibri" w:hAnsi="Calibri" w:cs="Calibri"/>
        </w:rPr>
        <w:t xml:space="preserve">Whereas, </w:t>
      </w:r>
      <w:r>
        <w:rPr>
          <w:rFonts w:ascii="Calibri" w:hAnsi="Calibri" w:cs="Calibri"/>
        </w:rPr>
        <w:t>I</w:t>
      </w:r>
      <w:r w:rsidRPr="00F26AE6">
        <w:rPr>
          <w:rFonts w:ascii="Calibri" w:hAnsi="Calibri" w:cs="Calibri"/>
        </w:rPr>
        <w:t xml:space="preserve">nstitutions globally are integrating digital processes to support inclusion, sustainability, and equity, and California’s </w:t>
      </w:r>
      <w:r>
        <w:rPr>
          <w:rFonts w:ascii="Calibri" w:hAnsi="Calibri" w:cs="Calibri"/>
        </w:rPr>
        <w:t>c</w:t>
      </w:r>
      <w:r w:rsidRPr="00F26AE6">
        <w:rPr>
          <w:rFonts w:ascii="Calibri" w:hAnsi="Calibri" w:cs="Calibri"/>
        </w:rPr>
        <w:t xml:space="preserve">ommunity </w:t>
      </w:r>
      <w:r>
        <w:rPr>
          <w:rFonts w:ascii="Calibri" w:hAnsi="Calibri" w:cs="Calibri"/>
        </w:rPr>
        <w:t>c</w:t>
      </w:r>
      <w:r w:rsidRPr="00F26AE6">
        <w:rPr>
          <w:rFonts w:ascii="Calibri" w:hAnsi="Calibri" w:cs="Calibri"/>
        </w:rPr>
        <w:t>olleges have demonstrated that public, accessible remote meetings can be effective, transparent, and broadly engaging</w:t>
      </w:r>
      <w:r w:rsidRPr="00F26AE6">
        <w:rPr>
          <w:rStyle w:val="FootnoteReference"/>
          <w:rFonts w:ascii="Calibri" w:hAnsi="Calibri" w:cs="Calibri"/>
          <w:sz w:val="22"/>
        </w:rPr>
        <w:footnoteReference w:id="32"/>
      </w:r>
      <w:r w:rsidR="008A11C2">
        <w:rPr>
          <w:rFonts w:ascii="Calibri" w:hAnsi="Calibri" w:cs="Calibri"/>
        </w:rPr>
        <w:t>; and</w:t>
      </w:r>
      <w:r w:rsidRPr="00F26AE6">
        <w:rPr>
          <w:rFonts w:ascii="Calibri" w:hAnsi="Calibri" w:cs="Calibri"/>
        </w:rPr>
        <w:t xml:space="preserve"> </w:t>
      </w:r>
    </w:p>
    <w:p w14:paraId="16445FBA" w14:textId="6CB696C0" w:rsidR="007E54EB" w:rsidRPr="00F26AE6" w:rsidRDefault="007E54EB" w:rsidP="007E54EB">
      <w:pPr>
        <w:spacing w:before="240"/>
        <w:rPr>
          <w:rFonts w:ascii="Calibri" w:hAnsi="Calibri" w:cs="Calibri"/>
        </w:rPr>
      </w:pPr>
      <w:r w:rsidRPr="00F26AE6">
        <w:rPr>
          <w:rFonts w:ascii="Calibri" w:hAnsi="Calibri" w:cs="Calibri"/>
        </w:rPr>
        <w:lastRenderedPageBreak/>
        <w:t xml:space="preserve">Whereas, </w:t>
      </w:r>
      <w:r>
        <w:rPr>
          <w:rFonts w:ascii="Calibri" w:hAnsi="Calibri" w:cs="Calibri"/>
        </w:rPr>
        <w:t>E</w:t>
      </w:r>
      <w:r w:rsidRPr="00F26AE6">
        <w:rPr>
          <w:rFonts w:ascii="Calibri" w:hAnsi="Calibri" w:cs="Calibri"/>
        </w:rPr>
        <w:t xml:space="preserve">xpanding remote participation in public meetings aligns with </w:t>
      </w:r>
      <w:r w:rsidR="008A11C2">
        <w:rPr>
          <w:rFonts w:ascii="Calibri" w:hAnsi="Calibri" w:cs="Calibri"/>
        </w:rPr>
        <w:t xml:space="preserve">the California Community Colleges </w:t>
      </w:r>
      <w:r w:rsidRPr="00F26AE6">
        <w:rPr>
          <w:rFonts w:ascii="Calibri" w:hAnsi="Calibri" w:cs="Calibri"/>
        </w:rPr>
        <w:t>Chancellor</w:t>
      </w:r>
      <w:r w:rsidR="008A11C2">
        <w:rPr>
          <w:rFonts w:ascii="Calibri" w:hAnsi="Calibri" w:cs="Calibri"/>
        </w:rPr>
        <w:t>’s</w:t>
      </w:r>
      <w:r w:rsidRPr="00F26AE6">
        <w:rPr>
          <w:rFonts w:ascii="Calibri" w:hAnsi="Calibri" w:cs="Calibri"/>
        </w:rPr>
        <w:t xml:space="preserve"> </w:t>
      </w:r>
      <w:r w:rsidR="008A11C2">
        <w:rPr>
          <w:rFonts w:ascii="Calibri" w:hAnsi="Calibri" w:cs="Calibri"/>
        </w:rPr>
        <w:t>Office</w:t>
      </w:r>
      <w:r w:rsidR="008A11C2" w:rsidRPr="00F26AE6">
        <w:rPr>
          <w:rFonts w:ascii="Calibri" w:hAnsi="Calibri" w:cs="Calibri"/>
        </w:rPr>
        <w:t xml:space="preserve"> </w:t>
      </w:r>
      <w:r w:rsidRPr="00F26AE6">
        <w:rPr>
          <w:rFonts w:ascii="Calibri" w:hAnsi="Calibri" w:cs="Calibri"/>
          <w:i/>
          <w:iCs/>
        </w:rPr>
        <w:t>Vision 2030</w:t>
      </w:r>
      <w:r w:rsidRPr="00F26AE6">
        <w:rPr>
          <w:rFonts w:ascii="Calibri" w:hAnsi="Calibri" w:cs="Calibri"/>
        </w:rPr>
        <w:t xml:space="preserve"> Goal 5, </w:t>
      </w:r>
      <w:r w:rsidR="008A11C2">
        <w:rPr>
          <w:rFonts w:ascii="Calibri" w:hAnsi="Calibri" w:cs="Calibri"/>
        </w:rPr>
        <w:t>“</w:t>
      </w:r>
      <w:r w:rsidRPr="00F26AE6">
        <w:rPr>
          <w:rFonts w:ascii="Calibri" w:hAnsi="Calibri" w:cs="Calibri"/>
        </w:rPr>
        <w:t>Equitable Distribution of Resources</w:t>
      </w:r>
      <w:r w:rsidR="008A11C2">
        <w:rPr>
          <w:rFonts w:ascii="Calibri" w:hAnsi="Calibri" w:cs="Calibri"/>
        </w:rPr>
        <w:t>,”</w:t>
      </w:r>
      <w:r w:rsidRPr="00F26AE6">
        <w:rPr>
          <w:rFonts w:ascii="Calibri" w:hAnsi="Calibri" w:cs="Calibri"/>
        </w:rPr>
        <w:t xml:space="preserve"> by reducing barriers and enabling wider public involvement;</w:t>
      </w:r>
    </w:p>
    <w:p w14:paraId="581922C8" w14:textId="3CDB6EA7" w:rsidR="007E54EB" w:rsidRPr="00F26AE6" w:rsidRDefault="007E54EB" w:rsidP="007E54EB">
      <w:pPr>
        <w:spacing w:before="240"/>
        <w:rPr>
          <w:rFonts w:ascii="Calibri" w:hAnsi="Calibri" w:cs="Calibri"/>
        </w:rPr>
      </w:pPr>
      <w:r w:rsidRPr="00F26AE6">
        <w:rPr>
          <w:rFonts w:ascii="Calibri" w:hAnsi="Calibri" w:cs="Calibri"/>
        </w:rPr>
        <w:t xml:space="preserve">Resolved, </w:t>
      </w:r>
      <w:r>
        <w:rPr>
          <w:rFonts w:ascii="Calibri" w:hAnsi="Calibri" w:cs="Calibri"/>
        </w:rPr>
        <w:t>T</w:t>
      </w:r>
      <w:r w:rsidRPr="00F26AE6">
        <w:rPr>
          <w:rFonts w:ascii="Calibri" w:hAnsi="Calibri" w:cs="Calibri"/>
        </w:rPr>
        <w:t xml:space="preserve">hat the </w:t>
      </w:r>
      <w:r w:rsidRPr="00B73CCF">
        <w:t>Academic Senate for California Community Colleges</w:t>
      </w:r>
      <w:r w:rsidRPr="00F26AE6">
        <w:rPr>
          <w:rFonts w:ascii="Calibri" w:hAnsi="Calibri" w:cs="Calibri"/>
        </w:rPr>
        <w:t xml:space="preserve"> support AB 259 (Rubio, 2025)</w:t>
      </w:r>
      <w:r w:rsidRPr="00F26AE6">
        <w:rPr>
          <w:rStyle w:val="FootnoteReference"/>
          <w:rFonts w:ascii="Calibri" w:hAnsi="Calibri" w:cs="Calibri"/>
          <w:sz w:val="22"/>
        </w:rPr>
        <w:footnoteReference w:id="33"/>
      </w:r>
      <w:r w:rsidRPr="00F26AE6">
        <w:rPr>
          <w:rFonts w:ascii="Calibri" w:hAnsi="Calibri" w:cs="Calibri"/>
        </w:rPr>
        <w:t xml:space="preserve"> to preserve flexible teleconferencing options; and</w:t>
      </w:r>
    </w:p>
    <w:p w14:paraId="5758460B" w14:textId="4930CB7E" w:rsidR="007E54EB" w:rsidRPr="00F26AE6" w:rsidRDefault="007E54EB" w:rsidP="007E54EB">
      <w:pPr>
        <w:spacing w:before="240"/>
        <w:rPr>
          <w:rFonts w:ascii="Calibri" w:hAnsi="Calibri" w:cs="Calibri"/>
        </w:rPr>
      </w:pPr>
      <w:r w:rsidRPr="00F26AE6">
        <w:rPr>
          <w:rFonts w:ascii="Calibri" w:hAnsi="Calibri" w:cs="Calibri"/>
        </w:rPr>
        <w:t xml:space="preserve">Resolved, </w:t>
      </w:r>
      <w:r w:rsidR="008A11C2">
        <w:rPr>
          <w:rFonts w:ascii="Calibri" w:hAnsi="Calibri" w:cs="Calibri"/>
        </w:rPr>
        <w:t>T</w:t>
      </w:r>
      <w:r w:rsidRPr="00F26AE6">
        <w:rPr>
          <w:rFonts w:ascii="Calibri" w:hAnsi="Calibri" w:cs="Calibri"/>
        </w:rPr>
        <w:t xml:space="preserve">hat the </w:t>
      </w:r>
      <w:r w:rsidRPr="00B73CCF">
        <w:t>Academic Senate for California Community Colleges</w:t>
      </w:r>
      <w:r w:rsidRPr="00F26AE6">
        <w:rPr>
          <w:rFonts w:ascii="Calibri" w:hAnsi="Calibri" w:cs="Calibri"/>
        </w:rPr>
        <w:t xml:space="preserve"> work with the California Community Colleges Chancellor’s Office and </w:t>
      </w:r>
      <w:r>
        <w:rPr>
          <w:rFonts w:ascii="Calibri" w:hAnsi="Calibri" w:cs="Calibri"/>
        </w:rPr>
        <w:t xml:space="preserve">California’s </w:t>
      </w:r>
      <w:r w:rsidRPr="00F26AE6">
        <w:rPr>
          <w:rFonts w:ascii="Calibri" w:hAnsi="Calibri" w:cs="Calibri"/>
        </w:rPr>
        <w:t>Legislature to advocate for policy changes that expand remote participation options in modern academic governance processes in ways that uphold transparency and public participation while supporting equity, access, inclusion, and sustainability.</w:t>
      </w:r>
    </w:p>
    <w:p w14:paraId="67DDEE61" w14:textId="71C9BBFF" w:rsidR="007E54EB" w:rsidRDefault="007E54EB" w:rsidP="007E54EB">
      <w:r w:rsidRPr="00F26AE6">
        <w:rPr>
          <w:rFonts w:ascii="Calibri" w:hAnsi="Calibri" w:cs="Calibri"/>
        </w:rPr>
        <w:t>Contact: Kelly Rivera, Mt. San Antonio College, Area</w:t>
      </w:r>
      <w:r w:rsidR="008A11C2">
        <w:rPr>
          <w:rFonts w:ascii="Calibri" w:hAnsi="Calibri" w:cs="Calibri"/>
        </w:rPr>
        <w:t xml:space="preserve"> C</w:t>
      </w:r>
    </w:p>
    <w:p w14:paraId="502A6CB3" w14:textId="65C7BDD0" w:rsidR="0014141D" w:rsidRDefault="00A87B81" w:rsidP="001A6DEA">
      <w:r>
        <w:t>MSC</w:t>
      </w:r>
    </w:p>
    <w:p w14:paraId="5A094053" w14:textId="77777777" w:rsidR="005F6C8C" w:rsidRPr="005F6C8C" w:rsidRDefault="005F6C8C" w:rsidP="005F6C8C">
      <w:pPr>
        <w:pStyle w:val="Heading2"/>
      </w:pPr>
      <w:bookmarkStart w:id="109" w:name="_Toc197090190"/>
      <w:r w:rsidRPr="005F6C8C">
        <w:rPr>
          <w:rStyle w:val="Strong"/>
          <w:rFonts w:asciiTheme="minorHAnsi" w:hAnsiTheme="minorHAnsi"/>
          <w:b/>
          <w:bCs w:val="0"/>
        </w:rPr>
        <w:t>113.02 S25 Revising Student Centered Funding Formula Metrics to Better Serve All Students</w:t>
      </w:r>
      <w:bookmarkEnd w:id="109"/>
    </w:p>
    <w:p w14:paraId="2FF59335" w14:textId="418C181A" w:rsidR="005F6C8C" w:rsidRPr="005F6C8C" w:rsidRDefault="005F6C8C" w:rsidP="005F6C8C">
      <w:pPr>
        <w:spacing w:before="240"/>
        <w:rPr>
          <w:rFonts w:cstheme="minorHAnsi"/>
          <w:szCs w:val="24"/>
        </w:rPr>
      </w:pPr>
      <w:r w:rsidRPr="005F6C8C">
        <w:rPr>
          <w:rStyle w:val="Strong"/>
          <w:rFonts w:asciiTheme="minorHAnsi" w:eastAsiaTheme="majorEastAsia" w:hAnsiTheme="minorHAnsi" w:cstheme="minorHAnsi"/>
          <w:b w:val="0"/>
          <w:bCs w:val="0"/>
          <w:szCs w:val="24"/>
        </w:rPr>
        <w:t>Whereas</w:t>
      </w:r>
      <w:r w:rsidRPr="005F6C8C">
        <w:rPr>
          <w:rFonts w:cstheme="minorHAnsi"/>
          <w:szCs w:val="24"/>
        </w:rPr>
        <w:t>, The Student-Centered Funding Formula (SCFF) was designed to incentivize student success and equity outcomes but does not adequately account for the realities faced by working adults and nontraditional students, including students who enroll part-time due to work and family obligations</w:t>
      </w:r>
      <w:r w:rsidRPr="005F6C8C">
        <w:rPr>
          <w:rFonts w:cstheme="minorHAnsi"/>
          <w:szCs w:val="24"/>
          <w:u w:val="single"/>
        </w:rPr>
        <w:t>,</w:t>
      </w:r>
      <w:r w:rsidRPr="005F6C8C">
        <w:rPr>
          <w:rFonts w:cstheme="minorHAnsi"/>
          <w:szCs w:val="24"/>
        </w:rPr>
        <w:t xml:space="preserve"> a concern the Academic Senate for California Community Colleges has addressed by calling for new approaches to measure success</w:t>
      </w:r>
      <w:r w:rsidR="00731D12">
        <w:rPr>
          <w:rFonts w:cstheme="minorHAnsi"/>
          <w:szCs w:val="24"/>
        </w:rPr>
        <w:t xml:space="preserve"> in Resolution 07.03 S23</w:t>
      </w:r>
      <w:r w:rsidRPr="005F6C8C">
        <w:rPr>
          <w:rFonts w:cstheme="minorHAnsi"/>
          <w:szCs w:val="24"/>
        </w:rPr>
        <w:t>;</w:t>
      </w:r>
    </w:p>
    <w:p w14:paraId="7B1D3709" w14:textId="37FBC776" w:rsidR="005F6C8C" w:rsidRPr="005F6C8C" w:rsidRDefault="005F6C8C" w:rsidP="005F6C8C">
      <w:pPr>
        <w:spacing w:before="240"/>
        <w:rPr>
          <w:rFonts w:cstheme="minorHAnsi"/>
          <w:szCs w:val="24"/>
        </w:rPr>
      </w:pPr>
      <w:r w:rsidRPr="005F6C8C">
        <w:rPr>
          <w:rStyle w:val="Strong"/>
          <w:rFonts w:asciiTheme="minorHAnsi" w:eastAsiaTheme="majorEastAsia" w:hAnsiTheme="minorHAnsi" w:cstheme="minorHAnsi"/>
          <w:b w:val="0"/>
          <w:bCs w:val="0"/>
          <w:szCs w:val="24"/>
        </w:rPr>
        <w:t>Whereas</w:t>
      </w:r>
      <w:r w:rsidRPr="005F6C8C">
        <w:rPr>
          <w:rFonts w:cstheme="minorHAnsi"/>
          <w:szCs w:val="24"/>
        </w:rPr>
        <w:t xml:space="preserve">, Current SCFF </w:t>
      </w:r>
      <w:hyperlink r:id="rId14" w:history="1">
        <w:r w:rsidRPr="005F6C8C">
          <w:rPr>
            <w:rStyle w:val="Hyperlink"/>
            <w:rFonts w:cstheme="minorHAnsi"/>
            <w:color w:val="auto"/>
            <w:szCs w:val="24"/>
            <w:u w:val="none"/>
          </w:rPr>
          <w:t>metrics</w:t>
        </w:r>
      </w:hyperlink>
      <w:r w:rsidRPr="005F6C8C">
        <w:rPr>
          <w:rFonts w:cstheme="minorHAnsi"/>
          <w:szCs w:val="24"/>
        </w:rPr>
        <w:t xml:space="preserve"> prioritize full-time enrollment, degree/certificate completion, and transfer rates, which disproportionately disadvantage</w:t>
      </w:r>
      <w:r w:rsidR="00731D12">
        <w:rPr>
          <w:rFonts w:cstheme="minorHAnsi"/>
          <w:szCs w:val="24"/>
        </w:rPr>
        <w:t>s</w:t>
      </w:r>
      <w:r w:rsidRPr="005F6C8C">
        <w:rPr>
          <w:rFonts w:cstheme="minorHAnsi"/>
          <w:szCs w:val="24"/>
        </w:rPr>
        <w:t xml:space="preserve"> institutions serving a high percentage of working adults, lifelong learners, and students who pursue career education in shorter increments that do not align with traditional academic pathways;</w:t>
      </w:r>
    </w:p>
    <w:p w14:paraId="2AD54BDB" w14:textId="72F23CEA" w:rsidR="005F6C8C" w:rsidRPr="005F6C8C" w:rsidRDefault="005F6C8C" w:rsidP="005F6C8C">
      <w:pPr>
        <w:spacing w:before="240"/>
        <w:rPr>
          <w:rFonts w:cstheme="minorHAnsi"/>
          <w:szCs w:val="24"/>
        </w:rPr>
      </w:pPr>
      <w:r w:rsidRPr="005F6C8C">
        <w:rPr>
          <w:rStyle w:val="Strong"/>
          <w:rFonts w:asciiTheme="minorHAnsi" w:eastAsiaTheme="majorEastAsia" w:hAnsiTheme="minorHAnsi" w:cstheme="minorHAnsi"/>
          <w:b w:val="0"/>
          <w:bCs w:val="0"/>
          <w:szCs w:val="24"/>
        </w:rPr>
        <w:t>Whereas</w:t>
      </w:r>
      <w:r w:rsidRPr="005F6C8C">
        <w:rPr>
          <w:rFonts w:cstheme="minorHAnsi"/>
          <w:szCs w:val="24"/>
        </w:rPr>
        <w:t xml:space="preserve">, Many working adult students benefit from skills-building, upskilling, and short-term stackable credentials that improve employability and economic mobility, but many </w:t>
      </w:r>
      <w:r w:rsidR="00731D12">
        <w:rPr>
          <w:rFonts w:cstheme="minorHAnsi"/>
          <w:szCs w:val="24"/>
        </w:rPr>
        <w:t xml:space="preserve">such achievements </w:t>
      </w:r>
      <w:r w:rsidRPr="005F6C8C">
        <w:rPr>
          <w:rFonts w:cstheme="minorHAnsi"/>
          <w:szCs w:val="24"/>
        </w:rPr>
        <w:t>are not captured within the existing SCFF completion metrics, thereby disincentivizing ongoing education and skill development</w:t>
      </w:r>
      <w:r w:rsidRPr="005F6C8C">
        <w:rPr>
          <w:rStyle w:val="FootnoteReference"/>
          <w:rFonts w:cstheme="minorHAnsi"/>
          <w:szCs w:val="24"/>
        </w:rPr>
        <w:footnoteReference w:id="34"/>
      </w:r>
      <w:r w:rsidRPr="005F6C8C">
        <w:rPr>
          <w:rFonts w:cstheme="minorHAnsi"/>
          <w:szCs w:val="24"/>
        </w:rPr>
        <w:t>; and</w:t>
      </w:r>
    </w:p>
    <w:p w14:paraId="53CBE680" w14:textId="0F076628" w:rsidR="005F6C8C" w:rsidRPr="005F6C8C" w:rsidRDefault="005F6C8C" w:rsidP="005F6C8C">
      <w:pPr>
        <w:spacing w:before="240"/>
        <w:rPr>
          <w:rFonts w:cstheme="minorHAnsi"/>
          <w:szCs w:val="24"/>
        </w:rPr>
      </w:pPr>
      <w:r w:rsidRPr="005F6C8C">
        <w:rPr>
          <w:rFonts w:cstheme="minorHAnsi"/>
          <w:szCs w:val="24"/>
        </w:rPr>
        <w:t xml:space="preserve">Whereas, </w:t>
      </w:r>
      <w:r w:rsidR="00731D12">
        <w:rPr>
          <w:rFonts w:cstheme="minorHAnsi"/>
          <w:szCs w:val="24"/>
        </w:rPr>
        <w:t>F</w:t>
      </w:r>
      <w:r w:rsidRPr="005F6C8C">
        <w:rPr>
          <w:rFonts w:cstheme="minorHAnsi"/>
          <w:szCs w:val="24"/>
        </w:rPr>
        <w:t>rom 2022-2023 to 2023-2024</w:t>
      </w:r>
      <w:r w:rsidR="00731D12">
        <w:rPr>
          <w:rFonts w:cstheme="minorHAnsi"/>
          <w:szCs w:val="24"/>
        </w:rPr>
        <w:t>,</w:t>
      </w:r>
      <w:r w:rsidRPr="005F6C8C">
        <w:rPr>
          <w:rFonts w:cstheme="minorHAnsi"/>
          <w:szCs w:val="24"/>
        </w:rPr>
        <w:t xml:space="preserve"> the statewide success rates for four-year transfer and living wage</w:t>
      </w:r>
      <w:r w:rsidR="00731D12">
        <w:rPr>
          <w:rFonts w:cstheme="minorHAnsi"/>
          <w:szCs w:val="24"/>
        </w:rPr>
        <w:t>—</w:t>
      </w:r>
      <w:r w:rsidRPr="005F6C8C">
        <w:rPr>
          <w:rFonts w:cstheme="minorHAnsi"/>
          <w:szCs w:val="24"/>
        </w:rPr>
        <w:t>neither of which is fully within the control of colleges</w:t>
      </w:r>
      <w:r w:rsidR="00731D12">
        <w:rPr>
          <w:rFonts w:cstheme="minorHAnsi"/>
          <w:szCs w:val="24"/>
        </w:rPr>
        <w:t>—</w:t>
      </w:r>
      <w:r w:rsidRPr="005F6C8C">
        <w:rPr>
          <w:rFonts w:cstheme="minorHAnsi"/>
          <w:szCs w:val="24"/>
        </w:rPr>
        <w:t xml:space="preserve">declined despite the fact </w:t>
      </w:r>
      <w:r w:rsidRPr="005F6C8C">
        <w:rPr>
          <w:rFonts w:cstheme="minorHAnsi"/>
          <w:szCs w:val="24"/>
        </w:rPr>
        <w:lastRenderedPageBreak/>
        <w:t xml:space="preserve">that the statewide success rates for </w:t>
      </w:r>
      <w:r w:rsidR="00731D12">
        <w:rPr>
          <w:rFonts w:cstheme="minorHAnsi"/>
          <w:szCs w:val="24"/>
        </w:rPr>
        <w:t>a</w:t>
      </w:r>
      <w:r w:rsidRPr="005F6C8C">
        <w:rPr>
          <w:rFonts w:cstheme="minorHAnsi"/>
          <w:szCs w:val="24"/>
        </w:rPr>
        <w:t xml:space="preserve">ssociate </w:t>
      </w:r>
      <w:r w:rsidR="00731D12">
        <w:rPr>
          <w:rFonts w:cstheme="minorHAnsi"/>
          <w:szCs w:val="24"/>
        </w:rPr>
        <w:t>d</w:t>
      </w:r>
      <w:r w:rsidRPr="005F6C8C">
        <w:rPr>
          <w:rFonts w:cstheme="minorHAnsi"/>
          <w:szCs w:val="24"/>
        </w:rPr>
        <w:t xml:space="preserve">egree for </w:t>
      </w:r>
      <w:r w:rsidR="00731D12">
        <w:rPr>
          <w:rFonts w:cstheme="minorHAnsi"/>
          <w:szCs w:val="24"/>
        </w:rPr>
        <w:t>t</w:t>
      </w:r>
      <w:r w:rsidRPr="005F6C8C">
        <w:rPr>
          <w:rFonts w:cstheme="minorHAnsi"/>
          <w:szCs w:val="24"/>
        </w:rPr>
        <w:t xml:space="preserve">ransfer completion, </w:t>
      </w:r>
      <w:r w:rsidR="00731D12">
        <w:rPr>
          <w:rFonts w:cstheme="minorHAnsi"/>
          <w:szCs w:val="24"/>
        </w:rPr>
        <w:t>a</w:t>
      </w:r>
      <w:r w:rsidRPr="005F6C8C">
        <w:rPr>
          <w:rFonts w:cstheme="minorHAnsi"/>
          <w:szCs w:val="24"/>
        </w:rPr>
        <w:t xml:space="preserve">ssociate of </w:t>
      </w:r>
      <w:r w:rsidR="00731D12">
        <w:rPr>
          <w:rFonts w:cstheme="minorHAnsi"/>
          <w:szCs w:val="24"/>
        </w:rPr>
        <w:t>a</w:t>
      </w:r>
      <w:r w:rsidRPr="005F6C8C">
        <w:rPr>
          <w:rFonts w:cstheme="minorHAnsi"/>
          <w:szCs w:val="24"/>
        </w:rPr>
        <w:t xml:space="preserve">rts and </w:t>
      </w:r>
      <w:r w:rsidR="00731D12">
        <w:rPr>
          <w:rFonts w:cstheme="minorHAnsi"/>
          <w:szCs w:val="24"/>
        </w:rPr>
        <w:t>a</w:t>
      </w:r>
      <w:r w:rsidRPr="005F6C8C">
        <w:rPr>
          <w:rFonts w:cstheme="minorHAnsi"/>
          <w:szCs w:val="24"/>
        </w:rPr>
        <w:t xml:space="preserve">ssociate of </w:t>
      </w:r>
      <w:r w:rsidR="00731D12">
        <w:rPr>
          <w:rFonts w:cstheme="minorHAnsi"/>
          <w:szCs w:val="24"/>
        </w:rPr>
        <w:t>s</w:t>
      </w:r>
      <w:r w:rsidRPr="005F6C8C">
        <w:rPr>
          <w:rFonts w:cstheme="minorHAnsi"/>
          <w:szCs w:val="24"/>
        </w:rPr>
        <w:t xml:space="preserve">cience degree completion, certificate completion, and completion of 9+ </w:t>
      </w:r>
      <w:r w:rsidR="00731D12">
        <w:rPr>
          <w:rFonts w:cstheme="minorHAnsi"/>
          <w:szCs w:val="24"/>
        </w:rPr>
        <w:t>c</w:t>
      </w:r>
      <w:r w:rsidRPr="005F6C8C">
        <w:rPr>
          <w:rFonts w:cstheme="minorHAnsi"/>
          <w:szCs w:val="24"/>
        </w:rPr>
        <w:t xml:space="preserve">areer </w:t>
      </w:r>
      <w:r w:rsidR="00731D12">
        <w:rPr>
          <w:rFonts w:cstheme="minorHAnsi"/>
          <w:szCs w:val="24"/>
        </w:rPr>
        <w:t>t</w:t>
      </w:r>
      <w:r w:rsidRPr="005F6C8C">
        <w:rPr>
          <w:rFonts w:cstheme="minorHAnsi"/>
          <w:szCs w:val="24"/>
        </w:rPr>
        <w:t xml:space="preserve">echnical </w:t>
      </w:r>
      <w:r w:rsidR="00731D12">
        <w:rPr>
          <w:rFonts w:cstheme="minorHAnsi"/>
          <w:szCs w:val="24"/>
        </w:rPr>
        <w:t>e</w:t>
      </w:r>
      <w:r w:rsidRPr="005F6C8C">
        <w:rPr>
          <w:rFonts w:cstheme="minorHAnsi"/>
          <w:szCs w:val="24"/>
        </w:rPr>
        <w:t xml:space="preserve">ducation units all improved, </w:t>
      </w:r>
      <w:r w:rsidRPr="005F6C8C">
        <w:rPr>
          <w:rStyle w:val="Strong"/>
          <w:rFonts w:asciiTheme="minorHAnsi" w:eastAsiaTheme="majorEastAsia" w:hAnsiTheme="minorHAnsi" w:cstheme="minorHAnsi"/>
          <w:b w:val="0"/>
          <w:bCs w:val="0"/>
          <w:szCs w:val="24"/>
        </w:rPr>
        <w:t>penalizing colleges for declines in these two metrics—both of which are influenced by factors outside their control—</w:t>
      </w:r>
      <w:r w:rsidR="00731D12">
        <w:rPr>
          <w:rStyle w:val="Strong"/>
          <w:rFonts w:asciiTheme="minorHAnsi" w:eastAsiaTheme="majorEastAsia" w:hAnsiTheme="minorHAnsi" w:cstheme="minorHAnsi"/>
          <w:b w:val="0"/>
          <w:bCs w:val="0"/>
          <w:szCs w:val="24"/>
        </w:rPr>
        <w:t xml:space="preserve"> and </w:t>
      </w:r>
      <w:r w:rsidRPr="005F6C8C">
        <w:rPr>
          <w:rStyle w:val="Strong"/>
          <w:rFonts w:asciiTheme="minorHAnsi" w:eastAsiaTheme="majorEastAsia" w:hAnsiTheme="minorHAnsi" w:cstheme="minorHAnsi"/>
          <w:b w:val="0"/>
          <w:bCs w:val="0"/>
          <w:szCs w:val="24"/>
        </w:rPr>
        <w:t>suggesting that the current SCFF is fundamentally flawed;</w:t>
      </w:r>
    </w:p>
    <w:p w14:paraId="5056A373" w14:textId="77777777" w:rsidR="005F6C8C" w:rsidRPr="005F6C8C" w:rsidRDefault="005F6C8C" w:rsidP="005F6C8C">
      <w:pPr>
        <w:spacing w:before="240"/>
        <w:rPr>
          <w:rFonts w:cstheme="minorHAnsi"/>
          <w:szCs w:val="24"/>
        </w:rPr>
      </w:pPr>
      <w:r w:rsidRPr="005F6C8C">
        <w:rPr>
          <w:rStyle w:val="Strong"/>
          <w:rFonts w:asciiTheme="minorHAnsi" w:eastAsiaTheme="majorEastAsia" w:hAnsiTheme="minorHAnsi" w:cstheme="minorHAnsi"/>
          <w:b w:val="0"/>
          <w:bCs w:val="0"/>
          <w:szCs w:val="24"/>
        </w:rPr>
        <w:t>Resolved</w:t>
      </w:r>
      <w:r w:rsidRPr="005F6C8C">
        <w:rPr>
          <w:rFonts w:cstheme="minorHAnsi"/>
          <w:szCs w:val="24"/>
        </w:rPr>
        <w:t xml:space="preserve">, That the Academic Senate for California Community Colleges advocate for revisions to the Student-Centered </w:t>
      </w:r>
      <w:r w:rsidRPr="005F6C8C">
        <w:rPr>
          <w:rStyle w:val="Hyperlink"/>
          <w:rFonts w:cstheme="minorHAnsi"/>
          <w:color w:val="auto"/>
          <w:szCs w:val="24"/>
          <w:u w:val="none"/>
        </w:rPr>
        <w:t>Funding</w:t>
      </w:r>
      <w:r w:rsidRPr="005F6C8C">
        <w:rPr>
          <w:rFonts w:cstheme="minorHAnsi"/>
          <w:szCs w:val="24"/>
        </w:rPr>
        <w:t xml:space="preserve"> Formula metrics that recognize and appropriately fund colleges for serving all of their students, including working adults and nontraditional students, to include success metrics that measure all levels of incremental skills attainment, all wage gains, transfer, and completion of short-term industry-recognized credentials, regardless of student status;</w:t>
      </w:r>
    </w:p>
    <w:p w14:paraId="26C962A6" w14:textId="77777777" w:rsidR="005F6C8C" w:rsidRPr="005F6C8C" w:rsidRDefault="005F6C8C" w:rsidP="005F6C8C">
      <w:pPr>
        <w:spacing w:before="240"/>
        <w:rPr>
          <w:rFonts w:cstheme="minorHAnsi"/>
          <w:szCs w:val="24"/>
        </w:rPr>
      </w:pPr>
      <w:r w:rsidRPr="005F6C8C">
        <w:rPr>
          <w:rStyle w:val="Strong"/>
          <w:rFonts w:asciiTheme="minorHAnsi" w:eastAsiaTheme="majorEastAsia" w:hAnsiTheme="minorHAnsi" w:cstheme="minorHAnsi"/>
          <w:b w:val="0"/>
          <w:bCs w:val="0"/>
          <w:szCs w:val="24"/>
        </w:rPr>
        <w:t>Resolved</w:t>
      </w:r>
      <w:r w:rsidRPr="005F6C8C">
        <w:rPr>
          <w:rFonts w:cstheme="minorHAnsi"/>
          <w:szCs w:val="24"/>
        </w:rPr>
        <w:t>, That the Academic Senate for California Community Colleges work with the California Community Colleges Chancellor’s Office and other interest holders to explore alternative funding metrics and models that account for the success of all students, including part-time students, adult learners, and workforce education participants, ensuring equitable funding for colleges serving diverse student populations;</w:t>
      </w:r>
    </w:p>
    <w:p w14:paraId="16DA350D" w14:textId="77777777" w:rsidR="005F6C8C" w:rsidRPr="005F6C8C" w:rsidRDefault="005F6C8C" w:rsidP="005F6C8C">
      <w:pPr>
        <w:rPr>
          <w:rFonts w:cstheme="minorHAnsi"/>
          <w:szCs w:val="24"/>
        </w:rPr>
      </w:pPr>
      <w:r w:rsidRPr="005F6C8C">
        <w:rPr>
          <w:rStyle w:val="Strong"/>
          <w:rFonts w:asciiTheme="minorHAnsi" w:eastAsiaTheme="majorEastAsia" w:hAnsiTheme="minorHAnsi" w:cstheme="minorHAnsi"/>
          <w:b w:val="0"/>
          <w:bCs w:val="0"/>
          <w:szCs w:val="24"/>
        </w:rPr>
        <w:t>Resolved</w:t>
      </w:r>
      <w:r w:rsidRPr="005F6C8C">
        <w:rPr>
          <w:rFonts w:cstheme="minorHAnsi"/>
          <w:szCs w:val="24"/>
        </w:rPr>
        <w:t xml:space="preserve">, That the Academic Senate for California Community Colleges urge the California Community Colleges Chancellor’s Office to analyze disaggregated student success data to ensure that Student-Centered </w:t>
      </w:r>
      <w:r w:rsidRPr="005F6C8C">
        <w:rPr>
          <w:rStyle w:val="Hyperlink"/>
          <w:rFonts w:cstheme="minorHAnsi"/>
          <w:color w:val="auto"/>
          <w:szCs w:val="24"/>
          <w:u w:val="none"/>
        </w:rPr>
        <w:t>Funding</w:t>
      </w:r>
      <w:r w:rsidRPr="005F6C8C">
        <w:rPr>
          <w:rFonts w:cstheme="minorHAnsi"/>
          <w:szCs w:val="24"/>
        </w:rPr>
        <w:t xml:space="preserve"> Formula adjustments support equitable outcomes for all student demographics, with particular focus on nontraditional transfers and working adults; and</w:t>
      </w:r>
    </w:p>
    <w:p w14:paraId="4C31F6C8" w14:textId="77777777" w:rsidR="005F6C8C" w:rsidRPr="005F6C8C" w:rsidRDefault="005F6C8C" w:rsidP="005F6C8C">
      <w:pPr>
        <w:rPr>
          <w:rFonts w:cstheme="minorHAnsi"/>
          <w:szCs w:val="24"/>
        </w:rPr>
      </w:pPr>
      <w:r w:rsidRPr="005F6C8C">
        <w:rPr>
          <w:rStyle w:val="Strong"/>
          <w:rFonts w:asciiTheme="minorHAnsi" w:eastAsiaTheme="majorEastAsia" w:hAnsiTheme="minorHAnsi" w:cstheme="minorHAnsi"/>
          <w:b w:val="0"/>
          <w:bCs w:val="0"/>
          <w:szCs w:val="24"/>
        </w:rPr>
        <w:t>Resolved</w:t>
      </w:r>
      <w:r w:rsidRPr="005F6C8C">
        <w:rPr>
          <w:rFonts w:cstheme="minorHAnsi"/>
          <w:szCs w:val="24"/>
        </w:rPr>
        <w:t xml:space="preserve">, That the Academic Senate for California Community Colleges collaborate with local academic senates to develop recommendations for Student-Centered </w:t>
      </w:r>
      <w:r w:rsidRPr="005F6C8C">
        <w:rPr>
          <w:rStyle w:val="Hyperlink"/>
          <w:rFonts w:cstheme="minorHAnsi"/>
          <w:color w:val="auto"/>
          <w:szCs w:val="24"/>
          <w:u w:val="none"/>
        </w:rPr>
        <w:t>Funding</w:t>
      </w:r>
      <w:r w:rsidRPr="005F6C8C">
        <w:rPr>
          <w:rFonts w:cstheme="minorHAnsi"/>
          <w:szCs w:val="24"/>
        </w:rPr>
        <w:t xml:space="preserve"> Formula modifications that promote student-centered policies without disadvantaging colleges with significant working adult and part-time student populations.</w:t>
      </w:r>
    </w:p>
    <w:p w14:paraId="33D5464D" w14:textId="77777777" w:rsidR="005F6C8C" w:rsidRDefault="005F6C8C" w:rsidP="005F6C8C">
      <w:pPr>
        <w:rPr>
          <w:rFonts w:cstheme="minorHAnsi"/>
          <w:szCs w:val="24"/>
        </w:rPr>
      </w:pPr>
      <w:r w:rsidRPr="005F6C8C">
        <w:rPr>
          <w:rFonts w:cstheme="minorHAnsi"/>
          <w:szCs w:val="24"/>
        </w:rPr>
        <w:t>Leticia Barajas, East Los Angeles College, Area C</w:t>
      </w:r>
    </w:p>
    <w:p w14:paraId="5105793F" w14:textId="3AC9B658" w:rsidR="005F6C8C" w:rsidRPr="00F46FD9" w:rsidRDefault="005F6C8C" w:rsidP="001A6DEA">
      <w:pPr>
        <w:rPr>
          <w:rFonts w:cstheme="minorHAnsi"/>
          <w:szCs w:val="24"/>
        </w:rPr>
      </w:pPr>
      <w:r>
        <w:rPr>
          <w:rFonts w:cstheme="minorHAnsi"/>
          <w:szCs w:val="24"/>
        </w:rPr>
        <w:t>MSC</w:t>
      </w:r>
    </w:p>
    <w:p w14:paraId="1F7A40EF" w14:textId="67652961" w:rsidR="00D308C2" w:rsidRPr="00F46FD9" w:rsidRDefault="00D308C2" w:rsidP="00F46FD9">
      <w:pPr>
        <w:pStyle w:val="Heading2"/>
      </w:pPr>
      <w:bookmarkStart w:id="110" w:name="_Toc162362542"/>
      <w:bookmarkStart w:id="111" w:name="_Toc197090191"/>
      <w:r>
        <w:t xml:space="preserve">113.03 S25 </w:t>
      </w:r>
      <w:r w:rsidRPr="005F4405">
        <w:t>Allow Districts to Offer Mathematics and English Courses to Support Upskilling for Student Advancement</w:t>
      </w:r>
      <w:bookmarkEnd w:id="111"/>
    </w:p>
    <w:p w14:paraId="3019DF93" w14:textId="77777777" w:rsidR="00D308C2" w:rsidRPr="005F4405" w:rsidRDefault="00D308C2" w:rsidP="00D308C2">
      <w:pPr>
        <w:spacing w:after="240" w:line="240" w:lineRule="auto"/>
        <w:rPr>
          <w:rFonts w:cstheme="minorHAnsi"/>
        </w:rPr>
      </w:pPr>
      <w:r w:rsidRPr="005F4405">
        <w:rPr>
          <w:rFonts w:cstheme="minorHAnsi"/>
        </w:rPr>
        <w:t>Whereas, Generations of students have attended California Community Colleges to take specific courses to upskill in preparation for advancement in the workplace, which is a need recently observed in the California Master Plan for Career Education,</w:t>
      </w:r>
      <w:r w:rsidRPr="005F4405">
        <w:rPr>
          <w:rStyle w:val="FootnoteReference"/>
          <w:rFonts w:cstheme="minorHAnsi"/>
        </w:rPr>
        <w:footnoteReference w:id="35"/>
      </w:r>
      <w:r w:rsidRPr="005F4405">
        <w:rPr>
          <w:rFonts w:cstheme="minorHAnsi"/>
        </w:rPr>
        <w:t xml:space="preserve"> and in preparation for their academic journey; </w:t>
      </w:r>
    </w:p>
    <w:p w14:paraId="6BA2E091" w14:textId="3581ACA3" w:rsidR="00D308C2" w:rsidRPr="005F4405" w:rsidRDefault="00D308C2" w:rsidP="00D308C2">
      <w:pPr>
        <w:spacing w:after="240" w:line="240" w:lineRule="auto"/>
        <w:rPr>
          <w:rFonts w:cstheme="minorHAnsi"/>
        </w:rPr>
      </w:pPr>
      <w:r w:rsidRPr="005F4405">
        <w:rPr>
          <w:rFonts w:cstheme="minorHAnsi"/>
        </w:rPr>
        <w:lastRenderedPageBreak/>
        <w:t>Whereas, California Education Code Section 78213,</w:t>
      </w:r>
      <w:r w:rsidRPr="005F4405">
        <w:rPr>
          <w:rStyle w:val="FootnoteReference"/>
          <w:rFonts w:cstheme="minorHAnsi"/>
        </w:rPr>
        <w:footnoteReference w:id="36"/>
      </w:r>
      <w:r w:rsidRPr="005F4405">
        <w:rPr>
          <w:rFonts w:cstheme="minorHAnsi"/>
        </w:rPr>
        <w:t xml:space="preserve"> as revised in 2022 by AB 1705 (Irwin), reduces upskilling opportunities by prohibiting community college districts from enrolling students in pretransfer-level English and mathematics courses and enrolling STEM majors in mathematics courses below Calculus 1 unless </w:t>
      </w:r>
      <w:r w:rsidR="006C2F44">
        <w:rPr>
          <w:rFonts w:cstheme="minorHAnsi"/>
        </w:rPr>
        <w:t xml:space="preserve">those </w:t>
      </w:r>
      <w:r w:rsidRPr="005F4405">
        <w:rPr>
          <w:rFonts w:cstheme="minorHAnsi"/>
        </w:rPr>
        <w:t xml:space="preserve">courses can demonstrate better aggregate results in one-year throughput irrespective of students wanting to take </w:t>
      </w:r>
      <w:r w:rsidR="006C2F44">
        <w:rPr>
          <w:rFonts w:cstheme="minorHAnsi"/>
        </w:rPr>
        <w:t>the</w:t>
      </w:r>
      <w:r w:rsidR="006C2F44" w:rsidRPr="005F4405">
        <w:rPr>
          <w:rFonts w:cstheme="minorHAnsi"/>
        </w:rPr>
        <w:t xml:space="preserve"> </w:t>
      </w:r>
      <w:r w:rsidRPr="005F4405">
        <w:rPr>
          <w:rFonts w:cstheme="minorHAnsi"/>
        </w:rPr>
        <w:t xml:space="preserve">courses to enhance their skills to advance their career and academic goals; </w:t>
      </w:r>
    </w:p>
    <w:p w14:paraId="628E1688" w14:textId="4AC8AE86" w:rsidR="00D308C2" w:rsidRPr="005F4405" w:rsidRDefault="00D308C2" w:rsidP="00D308C2">
      <w:pPr>
        <w:spacing w:after="240" w:line="240" w:lineRule="auto"/>
        <w:rPr>
          <w:rFonts w:cstheme="minorHAnsi"/>
        </w:rPr>
      </w:pPr>
      <w:r w:rsidRPr="005F4405">
        <w:rPr>
          <w:rFonts w:cstheme="minorHAnsi"/>
        </w:rPr>
        <w:t>Whereas, California Education Code Section 66010.2</w:t>
      </w:r>
      <w:r w:rsidRPr="005F4405">
        <w:rPr>
          <w:rStyle w:val="FootnoteReference"/>
          <w:rFonts w:cstheme="minorHAnsi"/>
        </w:rPr>
        <w:footnoteReference w:id="37"/>
      </w:r>
      <w:r w:rsidRPr="005F4405">
        <w:rPr>
          <w:rFonts w:cstheme="minorHAnsi"/>
        </w:rPr>
        <w:t xml:space="preserve"> provides that all education institutions, including “the California Community Colleges… share goals designed to provide educational opportunity and success to the broadest possible range of our citizens</w:t>
      </w:r>
      <w:r w:rsidR="006C2F44">
        <w:rPr>
          <w:rFonts w:cstheme="minorHAnsi"/>
        </w:rPr>
        <w:t>,</w:t>
      </w:r>
      <w:r w:rsidRPr="005F4405">
        <w:rPr>
          <w:rFonts w:cstheme="minorHAnsi"/>
        </w:rPr>
        <w:t>” and yet state restrictions on community college course offerings have excluded citizens who seek to upskill their remedial skills in mathematics and English; and</w:t>
      </w:r>
    </w:p>
    <w:p w14:paraId="000342FD" w14:textId="02F892C2" w:rsidR="00D308C2" w:rsidRPr="005F4405" w:rsidRDefault="00D308C2" w:rsidP="00D308C2">
      <w:pPr>
        <w:spacing w:after="240" w:line="240" w:lineRule="auto"/>
        <w:rPr>
          <w:rFonts w:cstheme="minorHAnsi"/>
        </w:rPr>
      </w:pPr>
      <w:r w:rsidRPr="005F4405">
        <w:rPr>
          <w:rFonts w:cstheme="minorHAnsi"/>
        </w:rPr>
        <w:t>Whereas, The Academic Senate for California Community Colleges opposes legislation that censor</w:t>
      </w:r>
      <w:r w:rsidR="006C2F44">
        <w:rPr>
          <w:rFonts w:cstheme="minorHAnsi"/>
        </w:rPr>
        <w:t>s</w:t>
      </w:r>
      <w:r w:rsidRPr="005F4405">
        <w:rPr>
          <w:rFonts w:cstheme="minorHAnsi"/>
        </w:rPr>
        <w:t xml:space="preserve"> academic offerings while advocating for legislation to allow community college districts to offer students the option of taking pre-transfer level English and mathematics courses and mathematics courses below Calculus</w:t>
      </w:r>
      <w:r w:rsidR="00AA5018">
        <w:rPr>
          <w:rFonts w:cstheme="minorHAnsi"/>
        </w:rPr>
        <w:t>, as established in Resolutions 13.04 SP 23 and 113.01 F24</w:t>
      </w:r>
      <w:r w:rsidRPr="005F4405">
        <w:rPr>
          <w:rFonts w:cstheme="minorHAnsi"/>
        </w:rPr>
        <w:t xml:space="preserve">; </w:t>
      </w:r>
    </w:p>
    <w:p w14:paraId="182DA6C0" w14:textId="77777777" w:rsidR="00D308C2" w:rsidRPr="00C00096" w:rsidRDefault="00D308C2" w:rsidP="00D308C2">
      <w:pPr>
        <w:spacing w:after="240" w:line="240" w:lineRule="auto"/>
        <w:rPr>
          <w:rFonts w:cstheme="minorHAnsi"/>
        </w:rPr>
      </w:pPr>
      <w:r w:rsidRPr="005F4405">
        <w:rPr>
          <w:rFonts w:cstheme="minorHAnsi"/>
        </w:rPr>
        <w:t xml:space="preserve">Resolved, That the Academic Senate for California Community Colleges advocate for </w:t>
      </w:r>
      <w:r w:rsidRPr="00996C5F">
        <w:rPr>
          <w:rFonts w:cstheme="minorHAnsi"/>
          <w:color w:val="000000"/>
        </w:rPr>
        <w:t xml:space="preserve">revisions to California Education Code </w:t>
      </w:r>
      <w:r>
        <w:rPr>
          <w:rFonts w:cstheme="minorHAnsi"/>
          <w:color w:val="000000"/>
        </w:rPr>
        <w:t xml:space="preserve">section </w:t>
      </w:r>
      <w:r w:rsidRPr="00996C5F">
        <w:rPr>
          <w:rFonts w:cstheme="minorHAnsi"/>
          <w:color w:val="000000"/>
        </w:rPr>
        <w:t>78213</w:t>
      </w:r>
      <w:r>
        <w:rPr>
          <w:rFonts w:cstheme="minorHAnsi"/>
          <w:color w:val="000000"/>
        </w:rPr>
        <w:t xml:space="preserve"> to </w:t>
      </w:r>
      <w:r w:rsidRPr="00996C5F">
        <w:rPr>
          <w:rFonts w:cstheme="minorHAnsi"/>
        </w:rPr>
        <w:t xml:space="preserve">allow </w:t>
      </w:r>
      <w:r w:rsidRPr="005F4405">
        <w:rPr>
          <w:rFonts w:cstheme="minorHAnsi"/>
        </w:rPr>
        <w:t xml:space="preserve">community college districts to offer English and mathematics courses that </w:t>
      </w:r>
      <w:r w:rsidRPr="00C00096">
        <w:rPr>
          <w:rFonts w:cstheme="minorHAnsi"/>
        </w:rPr>
        <w:t xml:space="preserve">students seek for upskilling to advance their career and academic development. </w:t>
      </w:r>
    </w:p>
    <w:p w14:paraId="2A62C821" w14:textId="77777777" w:rsidR="00D308C2" w:rsidRDefault="00D308C2" w:rsidP="00D308C2">
      <w:pPr>
        <w:rPr>
          <w:rFonts w:cstheme="minorHAnsi"/>
        </w:rPr>
      </w:pPr>
      <w:r w:rsidRPr="003743B3">
        <w:rPr>
          <w:rFonts w:cstheme="minorHAnsi"/>
        </w:rPr>
        <w:t>Contact: Jeffrey Hernandez, Los Angeles Community College District</w:t>
      </w:r>
    </w:p>
    <w:p w14:paraId="457336CF" w14:textId="7911FA61" w:rsidR="00D308C2" w:rsidRPr="003743B3" w:rsidRDefault="00D308C2" w:rsidP="00D308C2">
      <w:pPr>
        <w:rPr>
          <w:rFonts w:cstheme="minorHAnsi"/>
        </w:rPr>
      </w:pPr>
      <w:r>
        <w:rPr>
          <w:rFonts w:cstheme="minorHAnsi"/>
        </w:rPr>
        <w:t>MS</w:t>
      </w:r>
      <w:r w:rsidR="00AD599F">
        <w:rPr>
          <w:rFonts w:cstheme="minorHAnsi"/>
        </w:rPr>
        <w:t>C</w:t>
      </w:r>
    </w:p>
    <w:p w14:paraId="6E078ADF" w14:textId="52858D52" w:rsidR="0016288A" w:rsidRPr="005F4405" w:rsidRDefault="0016288A" w:rsidP="0016288A">
      <w:pPr>
        <w:pStyle w:val="Heading2"/>
      </w:pPr>
      <w:bookmarkStart w:id="112" w:name="_Toc197090192"/>
      <w:bookmarkEnd w:id="110"/>
      <w:r>
        <w:t xml:space="preserve">113.04 S25 </w:t>
      </w:r>
      <w:r w:rsidRPr="005F4405">
        <w:t>Support of Assembly Bill 1433 (Sharp-Collins): Education Finance—Funding for Noncredit Instruction</w:t>
      </w:r>
      <w:r w:rsidR="00EE59C8">
        <w:t xml:space="preserve"> as of February 21, 2025</w:t>
      </w:r>
      <w:bookmarkEnd w:id="112"/>
    </w:p>
    <w:p w14:paraId="32677E14" w14:textId="4086326D" w:rsidR="0016288A" w:rsidRPr="005F4405" w:rsidRDefault="0016288A" w:rsidP="0016288A">
      <w:pPr>
        <w:spacing w:before="240" w:after="240"/>
        <w:rPr>
          <w:rFonts w:cstheme="minorHAnsi"/>
        </w:rPr>
      </w:pPr>
      <w:r w:rsidRPr="005F4405">
        <w:rPr>
          <w:rFonts w:cstheme="minorHAnsi"/>
        </w:rPr>
        <w:t xml:space="preserve">Whereas, </w:t>
      </w:r>
      <w:r>
        <w:rPr>
          <w:rFonts w:cstheme="minorHAnsi"/>
        </w:rPr>
        <w:t>T</w:t>
      </w:r>
      <w:r w:rsidRPr="005F4405">
        <w:rPr>
          <w:rFonts w:cstheme="minorHAnsi"/>
        </w:rPr>
        <w:t>he California Community Colleges system has, for over five decades, provided tuition-free noncredit education that supports adult learners through short-term, competency-based instruction designed to advance employment opportunities, foster career development, facilitate access to higher education, and promote lifelong learning;</w:t>
      </w:r>
    </w:p>
    <w:p w14:paraId="475CA2DA" w14:textId="77777777" w:rsidR="0016288A" w:rsidRPr="005F4405" w:rsidRDefault="0016288A" w:rsidP="0016288A">
      <w:pPr>
        <w:spacing w:before="240" w:after="240"/>
        <w:rPr>
          <w:rFonts w:cstheme="minorHAnsi"/>
        </w:rPr>
      </w:pPr>
      <w:r w:rsidRPr="005F4405">
        <w:rPr>
          <w:rFonts w:cstheme="minorHAnsi"/>
        </w:rPr>
        <w:t xml:space="preserve">Whereas, </w:t>
      </w:r>
      <w:r>
        <w:rPr>
          <w:rFonts w:cstheme="minorHAnsi"/>
        </w:rPr>
        <w:t>N</w:t>
      </w:r>
      <w:r w:rsidRPr="005F4405">
        <w:rPr>
          <w:rFonts w:cstheme="minorHAnsi"/>
        </w:rPr>
        <w:t>oncredit students represent a diverse and often underserved population, including immigrants, older adults, individuals with disabilities, and communities historically affected by systemic inequities and underinvestment, who benefit from access to essential academic and support services;</w:t>
      </w:r>
    </w:p>
    <w:p w14:paraId="47E05A04" w14:textId="77777777" w:rsidR="0016288A" w:rsidRPr="005F4405" w:rsidRDefault="0016288A" w:rsidP="0016288A">
      <w:pPr>
        <w:spacing w:before="240" w:after="240"/>
        <w:rPr>
          <w:rFonts w:cstheme="minorHAnsi"/>
        </w:rPr>
      </w:pPr>
      <w:r w:rsidRPr="005F4405">
        <w:rPr>
          <w:rFonts w:cstheme="minorHAnsi"/>
        </w:rPr>
        <w:lastRenderedPageBreak/>
        <w:t xml:space="preserve">Whereas, </w:t>
      </w:r>
      <w:r>
        <w:rPr>
          <w:rFonts w:cstheme="minorHAnsi"/>
        </w:rPr>
        <w:t>C</w:t>
      </w:r>
      <w:r w:rsidRPr="005F4405">
        <w:rPr>
          <w:rFonts w:cstheme="minorHAnsi"/>
        </w:rPr>
        <w:t>urrent law does not recognize noncredit colleges and centers as distinct institutions of higher education, thus limiting their access to base funding under most categorical programs, which in turn restricts the ability to offer comprehensive student services such as disability accommodations, veteran resources, basic needs support, and mental health care; and</w:t>
      </w:r>
    </w:p>
    <w:p w14:paraId="04EA169C" w14:textId="77494AD3" w:rsidR="0016288A" w:rsidRPr="005F4405" w:rsidRDefault="0016288A" w:rsidP="0016288A">
      <w:pPr>
        <w:spacing w:before="240" w:after="240"/>
        <w:rPr>
          <w:rFonts w:cstheme="minorHAnsi"/>
        </w:rPr>
      </w:pPr>
      <w:r w:rsidRPr="005F4405">
        <w:rPr>
          <w:rFonts w:cstheme="minorHAnsi"/>
        </w:rPr>
        <w:t xml:space="preserve">Whereas, </w:t>
      </w:r>
      <w:r w:rsidRPr="00792C8E">
        <w:rPr>
          <w:rFonts w:cstheme="minorHAnsi"/>
        </w:rPr>
        <w:t>Assembly Bill 1433</w:t>
      </w:r>
      <w:r w:rsidRPr="005F4405">
        <w:rPr>
          <w:rFonts w:cstheme="minorHAnsi"/>
          <w:vertAlign w:val="superscript"/>
        </w:rPr>
        <w:footnoteReference w:id="38"/>
      </w:r>
      <w:r w:rsidRPr="005F4405">
        <w:rPr>
          <w:rFonts w:cstheme="minorHAnsi"/>
        </w:rPr>
        <w:t xml:space="preserve"> (Sharp-Collins) proposes to formally define noncredit colleges and centers and to mandate the allocation of base funding within designated categorical programs to eligible noncredit institutions that meet specified conditions, thereby enabling equitable access to critical wraparound services;</w:t>
      </w:r>
    </w:p>
    <w:p w14:paraId="23721945" w14:textId="6AB86FBB" w:rsidR="0016288A" w:rsidRPr="00CE2896" w:rsidRDefault="0016288A" w:rsidP="0016288A">
      <w:pPr>
        <w:spacing w:before="240" w:after="240"/>
        <w:rPr>
          <w:rFonts w:cstheme="minorHAnsi"/>
        </w:rPr>
      </w:pPr>
      <w:r w:rsidRPr="00CE2896">
        <w:rPr>
          <w:rFonts w:cstheme="minorHAnsi"/>
        </w:rPr>
        <w:t>Resolved</w:t>
      </w:r>
      <w:r w:rsidRPr="005F4405">
        <w:rPr>
          <w:rFonts w:cstheme="minorHAnsi"/>
        </w:rPr>
        <w:t xml:space="preserve">, </w:t>
      </w:r>
      <w:r>
        <w:rPr>
          <w:rFonts w:cstheme="minorHAnsi"/>
        </w:rPr>
        <w:t>T</w:t>
      </w:r>
      <w:r w:rsidRPr="005F4405">
        <w:rPr>
          <w:rFonts w:cstheme="minorHAnsi"/>
        </w:rPr>
        <w:t xml:space="preserve">hat the Academic Senate for California Community Colleges </w:t>
      </w:r>
      <w:r>
        <w:rPr>
          <w:rFonts w:cstheme="minorHAnsi"/>
        </w:rPr>
        <w:t xml:space="preserve">support </w:t>
      </w:r>
      <w:r w:rsidRPr="005F4405">
        <w:rPr>
          <w:rFonts w:cstheme="minorHAnsi"/>
        </w:rPr>
        <w:t>Assembly Bill 1433,</w:t>
      </w:r>
      <w:r w:rsidR="00EE59C8">
        <w:rPr>
          <w:rFonts w:cstheme="minorHAnsi"/>
        </w:rPr>
        <w:t xml:space="preserve"> as of February 21, 2025,</w:t>
      </w:r>
      <w:r w:rsidRPr="005F4405">
        <w:rPr>
          <w:rFonts w:cstheme="minorHAnsi"/>
        </w:rPr>
        <w:t xml:space="preserve"> recognizing the essential role of noncredit education in advancing educational </w:t>
      </w:r>
      <w:r w:rsidRPr="00CE2896">
        <w:rPr>
          <w:rFonts w:cstheme="minorHAnsi"/>
        </w:rPr>
        <w:t>equity, access, and student success</w:t>
      </w:r>
      <w:r>
        <w:rPr>
          <w:rFonts w:cstheme="minorHAnsi"/>
        </w:rPr>
        <w:t>.</w:t>
      </w:r>
    </w:p>
    <w:p w14:paraId="6B402130" w14:textId="77777777" w:rsidR="0016288A" w:rsidRPr="002E4556" w:rsidRDefault="0016288A" w:rsidP="0016288A">
      <w:r w:rsidRPr="005F4405">
        <w:rPr>
          <w:rFonts w:cstheme="minorHAnsi"/>
        </w:rPr>
        <w:t xml:space="preserve">Contact: Mona </w:t>
      </w:r>
      <w:proofErr w:type="spellStart"/>
      <w:r w:rsidRPr="005F4405">
        <w:rPr>
          <w:rFonts w:cstheme="minorHAnsi"/>
        </w:rPr>
        <w:t>Alsoraimi</w:t>
      </w:r>
      <w:proofErr w:type="spellEnd"/>
      <w:r w:rsidRPr="005F4405">
        <w:rPr>
          <w:rFonts w:cstheme="minorHAnsi"/>
        </w:rPr>
        <w:t>-Espiritu, San Diego City College</w:t>
      </w:r>
    </w:p>
    <w:p w14:paraId="40142DFE" w14:textId="41BF4D81" w:rsidR="009508C3" w:rsidRPr="00F46FD9" w:rsidRDefault="0016288A" w:rsidP="00F46FD9">
      <w:pPr>
        <w:rPr>
          <w:rStyle w:val="normaltextrun"/>
        </w:rPr>
      </w:pPr>
      <w:r>
        <w:t>ACCLAMATION</w:t>
      </w:r>
    </w:p>
    <w:p w14:paraId="7ABA3D47" w14:textId="630D27DA" w:rsidR="009508C3" w:rsidRPr="00F46FD9" w:rsidRDefault="00601F0A" w:rsidP="00F46FD9">
      <w:pPr>
        <w:pStyle w:val="Heading1"/>
      </w:pPr>
      <w:bookmarkStart w:id="113" w:name="_Toc197090193"/>
      <w:r w:rsidRPr="001A6DEA">
        <w:t>11</w:t>
      </w:r>
      <w:r>
        <w:t>4</w:t>
      </w:r>
      <w:r w:rsidRPr="001A6DEA">
        <w:t xml:space="preserve"> </w:t>
      </w:r>
      <w:r w:rsidR="0058724C">
        <w:t>CONSULTATION WITH THE CHANCELLOR’S OFFICE</w:t>
      </w:r>
      <w:bookmarkEnd w:id="113"/>
    </w:p>
    <w:p w14:paraId="65156006" w14:textId="77777777" w:rsidR="00A62774" w:rsidRPr="00C307EA" w:rsidRDefault="00A62774" w:rsidP="00A62774">
      <w:pPr>
        <w:pStyle w:val="Heading2"/>
      </w:pPr>
      <w:bookmarkStart w:id="114" w:name="_Toc193947419"/>
      <w:bookmarkStart w:id="115" w:name="_Toc193890620"/>
      <w:bookmarkStart w:id="116" w:name="_Toc195691394"/>
      <w:bookmarkStart w:id="117" w:name="_Toc196496804"/>
      <w:bookmarkStart w:id="118" w:name="_Toc196500359"/>
      <w:bookmarkStart w:id="119" w:name="_Toc197090194"/>
      <w:r>
        <w:t>114.01 S25 Empowering Faculty Voice in Rising Scholars Programming</w:t>
      </w:r>
      <w:bookmarkEnd w:id="114"/>
      <w:bookmarkEnd w:id="115"/>
      <w:bookmarkEnd w:id="116"/>
      <w:bookmarkEnd w:id="117"/>
      <w:bookmarkEnd w:id="118"/>
      <w:bookmarkEnd w:id="119"/>
    </w:p>
    <w:p w14:paraId="0011A56B" w14:textId="3A0D584A" w:rsidR="00A62774" w:rsidRPr="00623C1B" w:rsidRDefault="00A62774" w:rsidP="00A62774">
      <w:pPr>
        <w:spacing w:before="240"/>
      </w:pPr>
      <w:r>
        <w:t xml:space="preserve">Whereas, Rising Scholars is a commitment made in the California Community Colleges Chancellor’s Office Vision 2030: “California and the California Community Colleges Chancellor’s Office (Chancellor’s Office) have institutionalized the Rising Scholars Network and grant program to specifically bring educational opportunities to justice-involved young people and adults”; </w:t>
      </w:r>
    </w:p>
    <w:p w14:paraId="4003A82D" w14:textId="0255040F" w:rsidR="00A62774" w:rsidRPr="00623C1B" w:rsidRDefault="00A62774" w:rsidP="00A62774">
      <w:pPr>
        <w:spacing w:before="240"/>
      </w:pPr>
      <w:r>
        <w:t xml:space="preserve">Whereas, Successful Rising Scholars program development and implementation aligns with the following areas of </w:t>
      </w:r>
      <w:r w:rsidR="00F4210B">
        <w:t>Title 5 §53200</w:t>
      </w:r>
      <w:r>
        <w:rPr>
          <w:rStyle w:val="FootnoteReference"/>
        </w:rPr>
        <w:footnoteReference w:id="39"/>
      </w:r>
      <w:r>
        <w:t xml:space="preserve">: #1 Curriculum​, #2 Degree and certificate requirements​, #4 Educational program development​, #5 Standards or policies regarding student preparation and success​, #8 Policies for faculty professional development activities​, #9 Processes for program review​, #10 Processes for institutional planning and budget development; </w:t>
      </w:r>
    </w:p>
    <w:p w14:paraId="6757A9ED" w14:textId="3A73E866" w:rsidR="00A62774" w:rsidRPr="00623C1B" w:rsidRDefault="00A62774" w:rsidP="00A62774">
      <w:pPr>
        <w:spacing w:before="240"/>
      </w:pPr>
      <w:r>
        <w:t xml:space="preserve">Whereas, Current Rising Scholars programs across </w:t>
      </w:r>
      <w:r w:rsidR="00F4210B">
        <w:t xml:space="preserve">California </w:t>
      </w:r>
      <w:r>
        <w:t>rely on intentional decision-making, informed by faculty expertise, about the unique strengths, needs, and barriers that Rising Scholars students face; and</w:t>
      </w:r>
    </w:p>
    <w:p w14:paraId="291EDFF0" w14:textId="59398821" w:rsidR="00A62774" w:rsidRPr="00623C1B" w:rsidRDefault="00A62774" w:rsidP="00A62774">
      <w:pPr>
        <w:spacing w:before="240"/>
      </w:pPr>
      <w:r>
        <w:t>Whereas</w:t>
      </w:r>
      <w:r w:rsidR="00F4210B">
        <w:t>,</w:t>
      </w:r>
      <w:r>
        <w:t xml:space="preserve"> Rising Scholars students generate higher levels of apportionment for local colleges;</w:t>
      </w:r>
    </w:p>
    <w:p w14:paraId="2081B0D0" w14:textId="77777777" w:rsidR="00A62774" w:rsidRPr="00623C1B" w:rsidRDefault="00A62774" w:rsidP="00A62774">
      <w:pPr>
        <w:spacing w:before="240"/>
      </w:pPr>
      <w:r>
        <w:lastRenderedPageBreak/>
        <w:t>Resolved, That the Academic Senate for California Community Colleges encourage local academic senates to learn about, explore, and advocate intentionally for Rising Scholars;</w:t>
      </w:r>
    </w:p>
    <w:p w14:paraId="2A68DF00" w14:textId="77777777" w:rsidR="00A62774" w:rsidRPr="00623C1B" w:rsidRDefault="00A62774" w:rsidP="00A62774">
      <w:pPr>
        <w:spacing w:before="240"/>
      </w:pPr>
      <w:r>
        <w:t xml:space="preserve">Resolved, That the Academic Senate for California Community Colleges encourage the California Community Colleges Chancellor’s Office to include in their Rising Scholars Guidelines that state funding specifically resources faculty coordination for Rising Scholars programs; </w:t>
      </w:r>
    </w:p>
    <w:p w14:paraId="143FC8C3" w14:textId="0BA77367" w:rsidR="00A62774" w:rsidRPr="00623C1B" w:rsidRDefault="00A62774" w:rsidP="00A62774">
      <w:pPr>
        <w:spacing w:before="240"/>
      </w:pPr>
      <w:r>
        <w:t xml:space="preserve">Resolved, That the Academic Senate for California Community Colleges work with the California Community Colleges Chancellor’s Office and partner organizations, such as the California Community Colleges Chief Instructional Officers and the Chief Student Services Officers, to provide professional development, grounded in faculty expertise, so that all interest holders understand their impact on and accountability to Rising Scholars students and how to best support Rising Scholars faculty; and </w:t>
      </w:r>
    </w:p>
    <w:p w14:paraId="6E05986F" w14:textId="202CFE09" w:rsidR="00A62774" w:rsidRPr="00623C1B" w:rsidRDefault="00A62774" w:rsidP="00A62774">
      <w:pPr>
        <w:spacing w:before="240"/>
      </w:pPr>
      <w:r>
        <w:t xml:space="preserve">Resolved, That the Academic Senate for California Community Colleges work with the California Community Colleges Chancellor’s Office to encourage awareness of the involvement of faculty in budget processes and to provide guidance and expectations for colleges to make sure funds generated by Rising Scholars programming via increased apportionment go directly back into Rising Scholars programming, thus creating a budgeting structure that ensures Rising Scholars programs </w:t>
      </w:r>
      <w:r w:rsidR="00F4210B">
        <w:t xml:space="preserve">receive </w:t>
      </w:r>
      <w:r>
        <w:t>the highest portion of the income they generate.</w:t>
      </w:r>
    </w:p>
    <w:p w14:paraId="6DE288F1" w14:textId="77777777" w:rsidR="00A62774" w:rsidRDefault="00A62774" w:rsidP="00A62774">
      <w:r>
        <w:t xml:space="preserve">Contact: Mitra Sapienza, ASCCC Executive Committee, ASCCC Rising Scholars Faculty Advisory Committee </w:t>
      </w:r>
    </w:p>
    <w:p w14:paraId="3968A611" w14:textId="0ABEB5CF" w:rsidR="00B15274" w:rsidRDefault="00A62774" w:rsidP="001A6DEA">
      <w:r>
        <w:t>ACCLAMATION</w:t>
      </w:r>
    </w:p>
    <w:p w14:paraId="7C9C1563" w14:textId="77777777" w:rsidR="00565076" w:rsidRPr="00BB2BE7" w:rsidRDefault="00565076" w:rsidP="00565076">
      <w:pPr>
        <w:pStyle w:val="Heading2"/>
        <w:rPr>
          <w:lang w:val="en"/>
        </w:rPr>
      </w:pPr>
      <w:bookmarkStart w:id="120" w:name="_Toc197090195"/>
      <w:r>
        <w:rPr>
          <w:lang w:val="en"/>
        </w:rPr>
        <w:t xml:space="preserve">114.03 S25 </w:t>
      </w:r>
      <w:r w:rsidRPr="00F26AE6">
        <w:rPr>
          <w:lang w:val="en"/>
        </w:rPr>
        <w:t>Clarification of Noncredit Alternative Attendance Accounting Procedure for Asynchronous Classes</w:t>
      </w:r>
      <w:bookmarkEnd w:id="120"/>
    </w:p>
    <w:p w14:paraId="0AED6364" w14:textId="4EC1BA67" w:rsidR="00565076" w:rsidRPr="00F26AE6" w:rsidRDefault="00565076" w:rsidP="00565076">
      <w:pPr>
        <w:spacing w:before="240"/>
      </w:pPr>
      <w:r w:rsidRPr="00F26AE6">
        <w:rPr>
          <w:bCs/>
          <w:lang w:val="en"/>
        </w:rPr>
        <w:t>Whereas</w:t>
      </w:r>
      <w:r w:rsidRPr="00F26AE6">
        <w:rPr>
          <w:lang w:val="en"/>
        </w:rPr>
        <w:t xml:space="preserve">, </w:t>
      </w:r>
      <w:r>
        <w:rPr>
          <w:lang w:val="en"/>
        </w:rPr>
        <w:t xml:space="preserve">The </w:t>
      </w:r>
      <w:r w:rsidRPr="00AA7447">
        <w:rPr>
          <w:rStyle w:val="Hyperlink"/>
          <w:color w:val="auto"/>
          <w:u w:val="none"/>
          <w:lang w:val="en"/>
        </w:rPr>
        <w:t xml:space="preserve">Academic Senate for California Community Colleges Resolution 07.13 </w:t>
      </w:r>
      <w:r w:rsidR="005C74F7" w:rsidRPr="00AA7447">
        <w:rPr>
          <w:rStyle w:val="Hyperlink"/>
          <w:color w:val="auto"/>
          <w:u w:val="none"/>
          <w:lang w:val="en"/>
        </w:rPr>
        <w:t xml:space="preserve">F22 </w:t>
      </w:r>
      <w:r w:rsidRPr="00AA7447">
        <w:rPr>
          <w:rStyle w:val="Hyperlink"/>
          <w:color w:val="auto"/>
          <w:u w:val="none"/>
          <w:lang w:val="en"/>
        </w:rPr>
        <w:t>Overhaul of Attendance Accounting</w:t>
      </w:r>
      <w:r w:rsidRPr="00AA7447">
        <w:rPr>
          <w:lang w:val="en"/>
        </w:rPr>
        <w:t xml:space="preserve"> </w:t>
      </w:r>
      <w:r w:rsidRPr="00F26AE6">
        <w:rPr>
          <w:lang w:val="en"/>
        </w:rPr>
        <w:t>was instrumental in updating the Standardized Attendance Accounting Regulations for all credit courses but neglected to update the noncredit accounting methods</w:t>
      </w:r>
      <w:r>
        <w:rPr>
          <w:lang w:val="en"/>
        </w:rPr>
        <w:t>;</w:t>
      </w:r>
      <w:r w:rsidRPr="00F26AE6">
        <w:rPr>
          <w:lang w:val="en"/>
        </w:rPr>
        <w:t> </w:t>
      </w:r>
      <w:r w:rsidRPr="00F26AE6">
        <w:t> </w:t>
      </w:r>
    </w:p>
    <w:p w14:paraId="500AA082" w14:textId="215E6FE0" w:rsidR="00565076" w:rsidRPr="00F26AE6" w:rsidRDefault="00565076" w:rsidP="00565076">
      <w:pPr>
        <w:spacing w:before="240"/>
      </w:pPr>
      <w:r w:rsidRPr="48E89643">
        <w:t xml:space="preserve">Whereas, </w:t>
      </w:r>
      <w:r w:rsidRPr="48E89643">
        <w:rPr>
          <w:rStyle w:val="Hyperlink"/>
          <w:color w:val="auto"/>
          <w:u w:val="none"/>
        </w:rPr>
        <w:t xml:space="preserve">Title 5 </w:t>
      </w:r>
      <w:r w:rsidR="005C74F7">
        <w:rPr>
          <w:rStyle w:val="Hyperlink"/>
          <w:color w:val="auto"/>
          <w:u w:val="none"/>
        </w:rPr>
        <w:t>§</w:t>
      </w:r>
      <w:r w:rsidRPr="48E89643">
        <w:rPr>
          <w:rStyle w:val="Hyperlink"/>
          <w:color w:val="auto"/>
          <w:u w:val="none"/>
        </w:rPr>
        <w:t>58003.1(f)(2)</w:t>
      </w:r>
      <w:r w:rsidRPr="48E89643">
        <w:rPr>
          <w:rStyle w:val="FootnoteReference"/>
        </w:rPr>
        <w:footnoteReference w:id="40"/>
      </w:r>
      <w:r w:rsidRPr="48E89643">
        <w:t xml:space="preserve"> and the </w:t>
      </w:r>
      <w:r w:rsidRPr="48E89643">
        <w:rPr>
          <w:rStyle w:val="Hyperlink"/>
          <w:color w:val="auto"/>
          <w:u w:val="none"/>
        </w:rPr>
        <w:t xml:space="preserve">2024 </w:t>
      </w:r>
      <w:r w:rsidRPr="00822412">
        <w:rPr>
          <w:rStyle w:val="Hyperlink"/>
          <w:i/>
          <w:iCs/>
          <w:color w:val="auto"/>
          <w:u w:val="none"/>
        </w:rPr>
        <w:t>Attendance Accounting Manual</w:t>
      </w:r>
      <w:r w:rsidRPr="48E89643">
        <w:rPr>
          <w:rStyle w:val="FootnoteReference"/>
        </w:rPr>
        <w:footnoteReference w:id="41"/>
      </w:r>
      <w:r w:rsidRPr="48E89643">
        <w:t xml:space="preserve"> (section 3, pages 23-25) provide confusing and sometimes contradictory guidance for the calculation of student attendance according to hours of instruction, hours of outside study, and instructor contact, the latter of which has been discouraged at conference presentations;</w:t>
      </w:r>
    </w:p>
    <w:p w14:paraId="42BC895F" w14:textId="7918DB07" w:rsidR="00565076" w:rsidRPr="00F26AE6" w:rsidRDefault="00565076" w:rsidP="00565076">
      <w:pPr>
        <w:spacing w:before="240"/>
      </w:pPr>
      <w:r w:rsidRPr="00F26AE6">
        <w:rPr>
          <w:bCs/>
          <w:lang w:val="en"/>
        </w:rPr>
        <w:t>Whereas</w:t>
      </w:r>
      <w:r w:rsidRPr="00F26AE6">
        <w:rPr>
          <w:lang w:val="en"/>
        </w:rPr>
        <w:t xml:space="preserve">, </w:t>
      </w:r>
      <w:r>
        <w:rPr>
          <w:lang w:val="en"/>
        </w:rPr>
        <w:t>T</w:t>
      </w:r>
      <w:r w:rsidRPr="00F26AE6">
        <w:rPr>
          <w:lang w:val="en"/>
        </w:rPr>
        <w:t xml:space="preserve">he current example provided with the guidance appears to impose a credit model of two hours of study for every hour in class instead of taking into account the pedagogical </w:t>
      </w:r>
      <w:r w:rsidRPr="00F26AE6">
        <w:rPr>
          <w:lang w:val="en"/>
        </w:rPr>
        <w:lastRenderedPageBreak/>
        <w:t>approaches that are the basis of noncredit course outline design and that underpin actual noncredit teaching and learning practices in and out of class; and</w:t>
      </w:r>
      <w:r w:rsidRPr="00F26AE6">
        <w:t> </w:t>
      </w:r>
    </w:p>
    <w:p w14:paraId="55EEDBCD" w14:textId="0042DB67" w:rsidR="00565076" w:rsidRPr="00F26AE6" w:rsidRDefault="00565076" w:rsidP="00565076">
      <w:pPr>
        <w:spacing w:before="240"/>
      </w:pPr>
      <w:r w:rsidRPr="00F26AE6">
        <w:rPr>
          <w:bCs/>
        </w:rPr>
        <w:t>Whereas</w:t>
      </w:r>
      <w:r w:rsidRPr="00F26AE6">
        <w:t xml:space="preserve">, </w:t>
      </w:r>
      <w:r>
        <w:t>E</w:t>
      </w:r>
      <w:r w:rsidRPr="00F26AE6">
        <w:t xml:space="preserve">stablishing explicit guidance on basing apportionment on hours in the course outline in compliance with Title 5 should alleviate internal accounting tensions and aid institutions in the calculation of </w:t>
      </w:r>
      <w:r w:rsidR="005C74F7">
        <w:t>f</w:t>
      </w:r>
      <w:r>
        <w:t>ull-</w:t>
      </w:r>
      <w:r w:rsidR="005C74F7">
        <w:t>t</w:t>
      </w:r>
      <w:r>
        <w:t xml:space="preserve">ime </w:t>
      </w:r>
      <w:r w:rsidR="005C74F7">
        <w:t>e</w:t>
      </w:r>
      <w:r>
        <w:t xml:space="preserve">quivalent </w:t>
      </w:r>
      <w:r w:rsidR="005C74F7">
        <w:t>s</w:t>
      </w:r>
      <w:r>
        <w:t>tudent</w:t>
      </w:r>
      <w:r w:rsidR="005C74F7">
        <w:t>s</w:t>
      </w:r>
      <w:r>
        <w:t xml:space="preserve"> </w:t>
      </w:r>
      <w:r w:rsidRPr="00F26AE6">
        <w:t xml:space="preserve">for asynchronous and combination asynchronous/synchronous scheduling patterns for distance education sections of noncredit courses; </w:t>
      </w:r>
    </w:p>
    <w:p w14:paraId="47731C97" w14:textId="77777777" w:rsidR="00565076" w:rsidRPr="00F26AE6" w:rsidRDefault="00565076" w:rsidP="00565076">
      <w:pPr>
        <w:spacing w:before="240"/>
      </w:pPr>
      <w:r w:rsidRPr="00F26AE6">
        <w:rPr>
          <w:bCs/>
          <w:lang w:val="en"/>
        </w:rPr>
        <w:t>Resolved</w:t>
      </w:r>
      <w:r w:rsidRPr="00F26AE6">
        <w:rPr>
          <w:lang w:val="en"/>
        </w:rPr>
        <w:t xml:space="preserve">, </w:t>
      </w:r>
      <w:r>
        <w:rPr>
          <w:lang w:val="en"/>
        </w:rPr>
        <w:t>T</w:t>
      </w:r>
      <w:r w:rsidRPr="00F26AE6">
        <w:rPr>
          <w:lang w:val="en"/>
        </w:rPr>
        <w:t>hat the Academic Senate for California Community Colleges work with the California Community Colleges Chief Instructional Officers Board and the California Community Colleges Chancellor’s Office to form a task force or work group to explore options for regulatory changes that would overhaul the current noncredit asynchronous attendance accounting rules</w:t>
      </w:r>
      <w:r>
        <w:rPr>
          <w:lang w:val="en"/>
        </w:rPr>
        <w:t>;</w:t>
      </w:r>
      <w:r w:rsidRPr="00F26AE6">
        <w:t> </w:t>
      </w:r>
    </w:p>
    <w:p w14:paraId="261CB3E2" w14:textId="6B060E84" w:rsidR="00565076" w:rsidRPr="00F26AE6" w:rsidRDefault="00565076" w:rsidP="00565076">
      <w:pPr>
        <w:spacing w:before="240"/>
      </w:pPr>
      <w:r w:rsidRPr="00F26AE6">
        <w:rPr>
          <w:bCs/>
          <w:lang w:val="en"/>
        </w:rPr>
        <w:t>Resolved</w:t>
      </w:r>
      <w:r w:rsidRPr="00F26AE6">
        <w:rPr>
          <w:lang w:val="en"/>
        </w:rPr>
        <w:t xml:space="preserve">, </w:t>
      </w:r>
      <w:r>
        <w:rPr>
          <w:lang w:val="en"/>
        </w:rPr>
        <w:t>T</w:t>
      </w:r>
      <w:r w:rsidRPr="00F26AE6">
        <w:rPr>
          <w:lang w:val="en"/>
        </w:rPr>
        <w:t xml:space="preserve">hat the </w:t>
      </w:r>
      <w:r>
        <w:t>Academic Senate for California Community Colleges</w:t>
      </w:r>
      <w:r w:rsidRPr="00F26AE6">
        <w:rPr>
          <w:lang w:val="en"/>
        </w:rPr>
        <w:t xml:space="preserve"> work with the </w:t>
      </w:r>
      <w:r w:rsidRPr="00F26AE6">
        <w:rPr>
          <w:rFonts w:ascii="Calibri" w:hAnsi="Calibri" w:cs="Calibri"/>
        </w:rPr>
        <w:t>California Community Colleges Chancellor’s Office</w:t>
      </w:r>
      <w:r w:rsidRPr="00F26AE6">
        <w:rPr>
          <w:lang w:val="en"/>
        </w:rPr>
        <w:t xml:space="preserve"> to review and revise the guidance for the noncredit alternative attendance accounting procedure that is used to calculate </w:t>
      </w:r>
      <w:r w:rsidR="005C74F7">
        <w:t>f</w:t>
      </w:r>
      <w:r>
        <w:t>ull-</w:t>
      </w:r>
      <w:r w:rsidR="005C74F7">
        <w:t>t</w:t>
      </w:r>
      <w:r>
        <w:t xml:space="preserve">ime </w:t>
      </w:r>
      <w:r w:rsidR="005C74F7">
        <w:t>e</w:t>
      </w:r>
      <w:r>
        <w:t xml:space="preserve">quivalent </w:t>
      </w:r>
      <w:r w:rsidR="005C74F7">
        <w:t>s</w:t>
      </w:r>
      <w:r>
        <w:t>tudent</w:t>
      </w:r>
      <w:r w:rsidR="005C74F7">
        <w:t>s</w:t>
      </w:r>
      <w:r w:rsidRPr="00F26AE6">
        <w:rPr>
          <w:lang w:val="en"/>
        </w:rPr>
        <w:t xml:space="preserve"> for both fully asynchronous and combination asynchronous/synchronous online course delivery to reflect actual noncredit approaches and to provide apportionment equitably with in-person classes;</w:t>
      </w:r>
      <w:r w:rsidRPr="00F26AE6">
        <w:t> </w:t>
      </w:r>
    </w:p>
    <w:p w14:paraId="362DB593" w14:textId="6267DE4E" w:rsidR="00565076" w:rsidRPr="00F26AE6" w:rsidRDefault="00565076" w:rsidP="00565076">
      <w:pPr>
        <w:spacing w:before="240"/>
      </w:pPr>
      <w:r w:rsidRPr="00F26AE6">
        <w:rPr>
          <w:bCs/>
          <w:lang w:val="en"/>
        </w:rPr>
        <w:t>Resolved</w:t>
      </w:r>
      <w:r w:rsidRPr="00F26AE6">
        <w:rPr>
          <w:lang w:val="en"/>
        </w:rPr>
        <w:t xml:space="preserve">, </w:t>
      </w:r>
      <w:r>
        <w:rPr>
          <w:lang w:val="en"/>
        </w:rPr>
        <w:t>T</w:t>
      </w:r>
      <w:r w:rsidRPr="00F26AE6">
        <w:rPr>
          <w:lang w:val="en"/>
        </w:rPr>
        <w:t xml:space="preserve">hat the </w:t>
      </w:r>
      <w:r>
        <w:t>Academic Senate for California Community Colleges</w:t>
      </w:r>
      <w:r w:rsidRPr="00F26AE6">
        <w:rPr>
          <w:lang w:val="en"/>
        </w:rPr>
        <w:t xml:space="preserve"> advocate</w:t>
      </w:r>
      <w:r>
        <w:rPr>
          <w:lang w:val="en"/>
        </w:rPr>
        <w:t xml:space="preserve"> to</w:t>
      </w:r>
      <w:r w:rsidRPr="00F26AE6">
        <w:rPr>
          <w:lang w:val="en"/>
        </w:rPr>
        <w:t xml:space="preserve"> the California Community Colleges Chancellor’s Office for the inclusion of noncredit faculty to review a clear noncredit asynchronous accounting approach that can be used systemwide; and</w:t>
      </w:r>
      <w:r w:rsidRPr="00F26AE6">
        <w:t> </w:t>
      </w:r>
    </w:p>
    <w:p w14:paraId="129BA564" w14:textId="27DAF491" w:rsidR="00565076" w:rsidRPr="00F26AE6" w:rsidRDefault="00565076" w:rsidP="00565076">
      <w:pPr>
        <w:spacing w:before="240"/>
      </w:pPr>
      <w:r w:rsidRPr="00372EA5">
        <w:rPr>
          <w:bCs/>
        </w:rPr>
        <w:t>Resolved</w:t>
      </w:r>
      <w:r w:rsidRPr="00372EA5">
        <w:t xml:space="preserve">, That the Academic Senate for California Community Colleges request the </w:t>
      </w:r>
      <w:r w:rsidRPr="00372EA5">
        <w:rPr>
          <w:lang w:val="en"/>
        </w:rPr>
        <w:t>California Community Colleges Chancellor’s Office</w:t>
      </w:r>
      <w:r w:rsidRPr="00372EA5">
        <w:t xml:space="preserve"> to publish an updated guidance document for noncredit accounting, with particular attention to asynchronous courses, to be disseminated by the Academic Senate for California Community Colleges </w:t>
      </w:r>
      <w:r w:rsidR="005C74F7">
        <w:t xml:space="preserve">at its </w:t>
      </w:r>
      <w:r w:rsidRPr="00372EA5">
        <w:t>Spring 2026 Plenary Session.</w:t>
      </w:r>
      <w:r w:rsidRPr="00F26AE6">
        <w:t> </w:t>
      </w:r>
    </w:p>
    <w:p w14:paraId="31CA03EE" w14:textId="54A10FC9" w:rsidR="00565076" w:rsidRDefault="00565076" w:rsidP="00565076">
      <w:pPr>
        <w:spacing w:before="240"/>
      </w:pPr>
      <w:r w:rsidRPr="00F26AE6">
        <w:rPr>
          <w:bCs/>
        </w:rPr>
        <w:t xml:space="preserve">Contact: </w:t>
      </w:r>
      <w:r w:rsidRPr="00F26AE6">
        <w:t xml:space="preserve">Alexis </w:t>
      </w:r>
      <w:proofErr w:type="spellStart"/>
      <w:r w:rsidRPr="00F26AE6">
        <w:t>Litzky</w:t>
      </w:r>
      <w:proofErr w:type="spellEnd"/>
      <w:r w:rsidRPr="00F26AE6">
        <w:t xml:space="preserve">, City College of San Francisco, Area </w:t>
      </w:r>
      <w:r w:rsidR="005C74F7">
        <w:t>B</w:t>
      </w:r>
    </w:p>
    <w:p w14:paraId="732E41E7" w14:textId="0A01D8C9" w:rsidR="0004452A" w:rsidRDefault="001023B0" w:rsidP="00F46FD9">
      <w:pPr>
        <w:spacing w:before="240"/>
        <w:rPr>
          <w:lang w:val="en"/>
        </w:rPr>
      </w:pPr>
      <w:r>
        <w:rPr>
          <w:lang w:val="en"/>
        </w:rPr>
        <w:t>MS</w:t>
      </w:r>
      <w:r w:rsidR="00565076">
        <w:rPr>
          <w:lang w:val="en"/>
        </w:rPr>
        <w:t>U</w:t>
      </w:r>
    </w:p>
    <w:p w14:paraId="25E50D91" w14:textId="353F609C" w:rsidR="0004452A" w:rsidRPr="006749FA" w:rsidRDefault="0004452A" w:rsidP="0004452A">
      <w:pPr>
        <w:pStyle w:val="Heading2"/>
        <w:rPr>
          <w:color w:val="FF0000"/>
        </w:rPr>
      </w:pPr>
      <w:bookmarkStart w:id="121" w:name="_Toc197090196"/>
      <w:r>
        <w:t>114.04 S25 Fraudulent Bot Enrollments in California Community Colleges Courses</w:t>
      </w:r>
      <w:bookmarkEnd w:id="121"/>
      <w:r>
        <w:t xml:space="preserve"> </w:t>
      </w:r>
    </w:p>
    <w:p w14:paraId="5F4635B0" w14:textId="1FE732B1" w:rsidR="0004452A" w:rsidRDefault="0004452A" w:rsidP="0004452A">
      <w:pPr>
        <w:spacing w:before="240" w:after="240"/>
      </w:pPr>
      <w:r>
        <w:t xml:space="preserve">Whereas, In the past several years, the dramatic rise in fraudulent enrollments, mainly from </w:t>
      </w:r>
      <w:r w:rsidRPr="00E778C3">
        <w:t>bots</w:t>
      </w:r>
      <w:r>
        <w:t xml:space="preserve"> mimicking students, has disrupted the enrollment </w:t>
      </w:r>
      <w:r w:rsidR="0029760B">
        <w:t>in</w:t>
      </w:r>
      <w:r>
        <w:t xml:space="preserve"> California community college courses, </w:t>
      </w:r>
      <w:r w:rsidRPr="00CB2BE3">
        <w:t>necessitated larger than normal adjustments to P1 reporting,</w:t>
      </w:r>
      <w:r>
        <w:rPr>
          <w:u w:val="single"/>
        </w:rPr>
        <w:t xml:space="preserve"> </w:t>
      </w:r>
      <w:r>
        <w:t xml:space="preserve">and created financial impacts on California </w:t>
      </w:r>
      <w:r w:rsidR="0029760B">
        <w:t>c</w:t>
      </w:r>
      <w:r>
        <w:t xml:space="preserve">ommunity </w:t>
      </w:r>
      <w:r w:rsidR="0029760B">
        <w:t>c</w:t>
      </w:r>
      <w:r>
        <w:t xml:space="preserve">olleges, and despite the California Community Colleges Chancellor’s </w:t>
      </w:r>
      <w:r>
        <w:lastRenderedPageBreak/>
        <w:t>Office efforts to prevent and mitigate fraud systemwide,</w:t>
      </w:r>
      <w:r>
        <w:rPr>
          <w:vertAlign w:val="superscript"/>
        </w:rPr>
        <w:footnoteReference w:id="42"/>
      </w:r>
      <w:r>
        <w:t xml:space="preserve"> the </w:t>
      </w:r>
      <w:r w:rsidR="0029760B">
        <w:t>California Community Colleges</w:t>
      </w:r>
      <w:r>
        <w:t xml:space="preserve"> system </w:t>
      </w:r>
      <w:r>
        <w:rPr>
          <w:highlight w:val="white"/>
        </w:rPr>
        <w:t>lost more than $7.5 million to financial aid fraud in 2024;</w:t>
      </w:r>
      <w:r>
        <w:rPr>
          <w:highlight w:val="white"/>
          <w:vertAlign w:val="superscript"/>
        </w:rPr>
        <w:footnoteReference w:id="43"/>
      </w:r>
      <w:r>
        <w:rPr>
          <w:highlight w:val="white"/>
        </w:rPr>
        <w:t xml:space="preserve"> </w:t>
      </w:r>
    </w:p>
    <w:p w14:paraId="23867BC1" w14:textId="66756534" w:rsidR="0004452A" w:rsidRPr="00BB066D" w:rsidRDefault="0004452A" w:rsidP="0004452A">
      <w:pPr>
        <w:spacing w:before="240" w:after="240"/>
        <w:rPr>
          <w:strike/>
        </w:rPr>
      </w:pPr>
      <w:r>
        <w:t>Whereas, The influx of fraudulent enrollments has prevented local students from being able to access needed courses</w:t>
      </w:r>
      <w:r w:rsidRPr="3215B9E4">
        <w:rPr>
          <w:vertAlign w:val="superscript"/>
        </w:rPr>
        <w:footnoteReference w:id="44"/>
      </w:r>
      <w:r>
        <w:t xml:space="preserve">, </w:t>
      </w:r>
      <w:r w:rsidRPr="00533538">
        <w:t xml:space="preserve">causing further scheduling complications </w:t>
      </w:r>
      <w:r>
        <w:t>and</w:t>
      </w:r>
      <w:r w:rsidRPr="00533538">
        <w:t xml:space="preserve"> making it more difficult for students to register for required courses </w:t>
      </w:r>
      <w:r w:rsidR="0029760B">
        <w:t xml:space="preserve">needed </w:t>
      </w:r>
      <w:r w:rsidRPr="00533538">
        <w:t xml:space="preserve">to make progress </w:t>
      </w:r>
      <w:r w:rsidR="0029760B">
        <w:t>toward</w:t>
      </w:r>
      <w:r w:rsidRPr="00533538">
        <w:t xml:space="preserve"> their academic and professional goals</w:t>
      </w:r>
      <w:r>
        <w:t>;</w:t>
      </w:r>
    </w:p>
    <w:p w14:paraId="79465448" w14:textId="1A1DC044" w:rsidR="0004452A" w:rsidRDefault="0004452A" w:rsidP="0004452A">
      <w:pPr>
        <w:spacing w:before="240" w:after="240"/>
      </w:pPr>
      <w:r>
        <w:t>Whereas, Faculty need support, including professional development for pedagogical strategies</w:t>
      </w:r>
      <w:r>
        <w:rPr>
          <w:vertAlign w:val="superscript"/>
        </w:rPr>
        <w:footnoteReference w:id="45"/>
      </w:r>
      <w:r>
        <w:t xml:space="preserve"> to accurately identify and drop fraudulent students so that add codes can be given to real students to enroll in their place before the add deadline; and</w:t>
      </w:r>
    </w:p>
    <w:p w14:paraId="1A1C3EB4" w14:textId="4F8BBC84" w:rsidR="0004452A" w:rsidRDefault="0004452A" w:rsidP="0004452A">
      <w:pPr>
        <w:spacing w:before="240" w:after="240"/>
      </w:pPr>
      <w:r>
        <w:t>Whereas, Currently each California community college</w:t>
      </w:r>
      <w:r w:rsidR="0029760B">
        <w:t xml:space="preserve"> or </w:t>
      </w:r>
      <w:r>
        <w:t>district is attempting to combat this fraud separately, incurring significant costs for individual colleges</w:t>
      </w:r>
      <w:r w:rsidR="0029760B">
        <w:t xml:space="preserve"> or </w:t>
      </w:r>
      <w:r>
        <w:t>district</w:t>
      </w:r>
      <w:r w:rsidR="0029760B">
        <w:t>s</w:t>
      </w:r>
      <w:r>
        <w:t xml:space="preserve"> in terms of staff time and technology, and leveraging a systemwide approach may help address the local need and uplift fraud trends that can be addressed statewide; </w:t>
      </w:r>
    </w:p>
    <w:p w14:paraId="489E2C1F" w14:textId="598538FF" w:rsidR="0004452A" w:rsidRDefault="0004452A" w:rsidP="0004452A">
      <w:pPr>
        <w:spacing w:before="240" w:after="240"/>
      </w:pPr>
      <w:r>
        <w:t>Resolved, That the Academic Senate for California Community Colleges commend the California Community College</w:t>
      </w:r>
      <w:r w:rsidR="0029760B">
        <w:t>s</w:t>
      </w:r>
      <w:r>
        <w:t xml:space="preserve"> Chancellor’s Office on efforts already underway to mitigate fraud, including enhancements to </w:t>
      </w:r>
      <w:proofErr w:type="spellStart"/>
      <w:r>
        <w:t>CCCApply</w:t>
      </w:r>
      <w:proofErr w:type="spellEnd"/>
      <w:r>
        <w:t>;</w:t>
      </w:r>
    </w:p>
    <w:p w14:paraId="770F8BF5" w14:textId="2487D455" w:rsidR="0004452A" w:rsidRDefault="0004452A" w:rsidP="0004452A">
      <w:r w:rsidRPr="00846744">
        <w:t xml:space="preserve">Resolved, That the Academic Senate for California Community Colleges </w:t>
      </w:r>
      <w:r>
        <w:t>recommend</w:t>
      </w:r>
      <w:r w:rsidR="0029760B">
        <w:t xml:space="preserve"> that</w:t>
      </w:r>
      <w:r w:rsidRPr="00846744">
        <w:t xml:space="preserve"> the California Community College</w:t>
      </w:r>
      <w:r w:rsidR="0029760B">
        <w:t>s</w:t>
      </w:r>
      <w:r w:rsidRPr="00846744">
        <w:t xml:space="preserve"> Chancellor’s Office</w:t>
      </w:r>
      <w:r>
        <w:t xml:space="preserve"> assess the extent that fraudulent enrollments are affecting apportionment received by community college districts under the Student-Centered Funding Formula and advance mitigations to offset negative impacts</w:t>
      </w:r>
      <w:r w:rsidR="0029760B">
        <w:t>; and</w:t>
      </w:r>
    </w:p>
    <w:p w14:paraId="2A792905" w14:textId="51C2BACB" w:rsidR="0004452A" w:rsidRPr="006749FA" w:rsidRDefault="0004452A" w:rsidP="0004452A">
      <w:pPr>
        <w:spacing w:before="240" w:after="240" w:line="240" w:lineRule="auto"/>
        <w:rPr>
          <w:rFonts w:ascii="Times New Roman" w:eastAsia="Times New Roman" w:hAnsi="Times New Roman"/>
          <w:szCs w:val="24"/>
          <w:lang w:eastAsia="zh-TW"/>
        </w:rPr>
      </w:pPr>
      <w:r w:rsidRPr="009F2675">
        <w:rPr>
          <w:rFonts w:ascii="Calibri" w:eastAsia="Times New Roman" w:hAnsi="Calibri" w:cs="Calibri"/>
          <w:color w:val="000000"/>
          <w:lang w:eastAsia="zh-TW"/>
        </w:rPr>
        <w:t>Resolved, That the Academic Senate for California Community Colleges urge the California Community College</w:t>
      </w:r>
      <w:r w:rsidR="0029760B">
        <w:rPr>
          <w:rFonts w:ascii="Calibri" w:eastAsia="Times New Roman" w:hAnsi="Calibri" w:cs="Calibri"/>
          <w:color w:val="000000"/>
          <w:lang w:eastAsia="zh-TW"/>
        </w:rPr>
        <w:t>s</w:t>
      </w:r>
      <w:r w:rsidRPr="009F2675">
        <w:rPr>
          <w:rFonts w:ascii="Calibri" w:eastAsia="Times New Roman" w:hAnsi="Calibri" w:cs="Calibri"/>
          <w:color w:val="000000"/>
          <w:lang w:eastAsia="zh-TW"/>
        </w:rPr>
        <w:t xml:space="preserve"> Chancellor’s Office to increase efforts toward </w:t>
      </w:r>
      <w:r w:rsidRPr="006749FA">
        <w:rPr>
          <w:rFonts w:ascii="Calibri" w:eastAsia="Times New Roman" w:hAnsi="Calibri" w:cs="Calibri"/>
          <w:color w:val="000000"/>
          <w:lang w:eastAsia="zh-TW"/>
        </w:rPr>
        <w:t xml:space="preserve">supplying disaggregated data by district or provide an explanation for why providing such data is not in the best interests of the </w:t>
      </w:r>
      <w:r w:rsidR="0029760B">
        <w:rPr>
          <w:rFonts w:ascii="Calibri" w:eastAsia="Times New Roman" w:hAnsi="Calibri" w:cs="Calibri"/>
          <w:color w:val="000000"/>
          <w:lang w:eastAsia="zh-TW"/>
        </w:rPr>
        <w:t>c</w:t>
      </w:r>
      <w:r w:rsidRPr="006749FA">
        <w:rPr>
          <w:rFonts w:ascii="Calibri" w:eastAsia="Times New Roman" w:hAnsi="Calibri" w:cs="Calibri"/>
          <w:color w:val="000000"/>
          <w:lang w:eastAsia="zh-TW"/>
        </w:rPr>
        <w:t xml:space="preserve">olleges, as well as </w:t>
      </w:r>
      <w:r w:rsidR="0029760B">
        <w:rPr>
          <w:rFonts w:ascii="Calibri" w:eastAsia="Times New Roman" w:hAnsi="Calibri" w:cs="Calibri"/>
          <w:color w:val="000000"/>
          <w:lang w:eastAsia="zh-TW"/>
        </w:rPr>
        <w:t xml:space="preserve">provide </w:t>
      </w:r>
      <w:r w:rsidRPr="006749FA">
        <w:rPr>
          <w:rFonts w:ascii="Calibri" w:eastAsia="Times New Roman" w:hAnsi="Calibri" w:cs="Calibri"/>
          <w:color w:val="000000"/>
          <w:lang w:eastAsia="zh-TW"/>
        </w:rPr>
        <w:t>systemwide technology or funding to help local colleges' efforts to understand and combat fraud in enrollment and financial aid</w:t>
      </w:r>
      <w:r w:rsidR="0029760B">
        <w:rPr>
          <w:rFonts w:ascii="Calibri" w:eastAsia="Times New Roman" w:hAnsi="Calibri" w:cs="Calibri"/>
          <w:color w:val="000000"/>
          <w:lang w:eastAsia="zh-TW"/>
        </w:rPr>
        <w:t>.</w:t>
      </w:r>
    </w:p>
    <w:p w14:paraId="052777C4" w14:textId="77777777" w:rsidR="0004452A" w:rsidRDefault="0004452A" w:rsidP="0004452A">
      <w:pPr>
        <w:spacing w:before="240" w:after="240"/>
      </w:pPr>
      <w:r>
        <w:t>Contact: Ric Epps, Imperial Valley College, ASCCC Educational Policies Committee</w:t>
      </w:r>
    </w:p>
    <w:p w14:paraId="562A509A" w14:textId="77777777" w:rsidR="0004452A" w:rsidRDefault="0004452A" w:rsidP="0004452A">
      <w:r>
        <w:t>ACCLAMATION</w:t>
      </w:r>
    </w:p>
    <w:p w14:paraId="57C1E765" w14:textId="77777777" w:rsidR="0004452A" w:rsidRPr="001A6DEA" w:rsidRDefault="0004452A" w:rsidP="00F46FD9">
      <w:pPr>
        <w:spacing w:before="240"/>
        <w:rPr>
          <w:lang w:val="en"/>
        </w:rPr>
      </w:pPr>
    </w:p>
    <w:p w14:paraId="11BA788C" w14:textId="3C684286" w:rsidR="00081EA5" w:rsidRDefault="00AA2826" w:rsidP="00F46FD9">
      <w:pPr>
        <w:pStyle w:val="Heading1"/>
        <w:jc w:val="center"/>
      </w:pPr>
      <w:bookmarkStart w:id="122" w:name="_Toc152013047"/>
      <w:bookmarkStart w:id="123" w:name="_Toc197090197"/>
      <w:r>
        <w:lastRenderedPageBreak/>
        <w:t>FAILED RESOLUTIONS AND AMENDMENTS</w:t>
      </w:r>
      <w:bookmarkEnd w:id="122"/>
      <w:bookmarkEnd w:id="123"/>
    </w:p>
    <w:p w14:paraId="7396BD75" w14:textId="47D4DB9C" w:rsidR="005F14ED" w:rsidRPr="005F14ED" w:rsidRDefault="005F14ED" w:rsidP="00F46FD9">
      <w:pPr>
        <w:pStyle w:val="Heading2"/>
      </w:pPr>
      <w:bookmarkStart w:id="124" w:name="_Toc197090198"/>
      <w:r>
        <w:t xml:space="preserve">103.02 S25 </w:t>
      </w:r>
      <w:r w:rsidRPr="00F26AE6">
        <w:t xml:space="preserve">Enhancing Student Mobility: Credit for Prior Learning and Transcript Reciprocity </w:t>
      </w:r>
      <w:r>
        <w:t>A</w:t>
      </w:r>
      <w:r w:rsidRPr="00F26AE6">
        <w:t>mong California Community Colleges</w:t>
      </w:r>
      <w:bookmarkEnd w:id="124"/>
    </w:p>
    <w:p w14:paraId="1823D5CB" w14:textId="7EF7564B" w:rsidR="005F14ED" w:rsidRPr="00F26AE6" w:rsidRDefault="005F14ED" w:rsidP="005F14ED">
      <w:r w:rsidRPr="00F26AE6">
        <w:rPr>
          <w:bCs/>
        </w:rPr>
        <w:t>Whereas</w:t>
      </w:r>
      <w:r w:rsidRPr="00F26AE6">
        <w:t xml:space="preserve">, </w:t>
      </w:r>
      <w:r>
        <w:t>N</w:t>
      </w:r>
      <w:r w:rsidRPr="00F26AE6">
        <w:t>ot every student begins and ends their academic career at the same college, and with the increasing trend of students transferring between institutions of higher education, it is incumbent upon the California Community College</w:t>
      </w:r>
      <w:r>
        <w:t>s</w:t>
      </w:r>
      <w:r w:rsidRPr="00F26AE6">
        <w:t xml:space="preserve"> system to facilitate a seamless and efficient transfer process for transfers; </w:t>
      </w:r>
    </w:p>
    <w:p w14:paraId="31CD9AAC" w14:textId="6BEDCFC2" w:rsidR="005F14ED" w:rsidRPr="00F26AE6" w:rsidRDefault="005F14ED" w:rsidP="005F14ED">
      <w:r w:rsidRPr="00F26AE6">
        <w:rPr>
          <w:bCs/>
        </w:rPr>
        <w:t>Whereas</w:t>
      </w:r>
      <w:r w:rsidRPr="00F26AE6">
        <w:t xml:space="preserve">, </w:t>
      </w:r>
      <w:r>
        <w:t>T</w:t>
      </w:r>
      <w:r w:rsidRPr="00F26AE6">
        <w:t xml:space="preserve">he California State University (CSU) system </w:t>
      </w:r>
      <w:r w:rsidRPr="00C9424E">
        <w:t xml:space="preserve">accepts </w:t>
      </w:r>
      <w:r w:rsidRPr="00372EA5">
        <w:t>students’ transcripts wholesale</w:t>
      </w:r>
      <w:r w:rsidRPr="00C9424E">
        <w:t>,</w:t>
      </w:r>
      <w:r w:rsidRPr="00F26AE6">
        <w:t xml:space="preserve"> </w:t>
      </w:r>
      <w:r>
        <w:t>including</w:t>
      </w:r>
      <w:r w:rsidRPr="00F26AE6">
        <w:t xml:space="preserve"> </w:t>
      </w:r>
      <w:r w:rsidR="0029760B">
        <w:t>c</w:t>
      </w:r>
      <w:r w:rsidR="0029760B" w:rsidRPr="00F26AE6">
        <w:t xml:space="preserve">redit for </w:t>
      </w:r>
      <w:r w:rsidR="0029760B">
        <w:t>p</w:t>
      </w:r>
      <w:r w:rsidR="0029760B" w:rsidRPr="00F26AE6">
        <w:t xml:space="preserve">rior </w:t>
      </w:r>
      <w:r w:rsidR="0029760B">
        <w:t>l</w:t>
      </w:r>
      <w:r w:rsidR="0029760B" w:rsidRPr="00F26AE6">
        <w:t xml:space="preserve">earning </w:t>
      </w:r>
      <w:r w:rsidR="0029760B">
        <w:t>(</w:t>
      </w:r>
      <w:r w:rsidRPr="00F26AE6">
        <w:t>CPL</w:t>
      </w:r>
      <w:r w:rsidR="0029760B">
        <w:t>)</w:t>
      </w:r>
      <w:r w:rsidRPr="00F26AE6">
        <w:t xml:space="preserve">, </w:t>
      </w:r>
      <w:r w:rsidR="0029760B">
        <w:t>but</w:t>
      </w:r>
      <w:r w:rsidR="0029760B" w:rsidRPr="00F26AE6">
        <w:t xml:space="preserve"> </w:t>
      </w:r>
      <w:r w:rsidRPr="00F26AE6">
        <w:t xml:space="preserve">the </w:t>
      </w:r>
      <w:r w:rsidR="0029760B" w:rsidRPr="00F26AE6">
        <w:t>California Community College</w:t>
      </w:r>
      <w:r w:rsidR="0029760B">
        <w:t>s</w:t>
      </w:r>
      <w:r w:rsidRPr="00F26AE6">
        <w:t xml:space="preserve"> system does not have a written policy on a reciprocity agreement </w:t>
      </w:r>
      <w:r w:rsidR="0029760B">
        <w:t>among</w:t>
      </w:r>
      <w:r w:rsidR="0029760B" w:rsidRPr="00F26AE6">
        <w:t xml:space="preserve"> </w:t>
      </w:r>
      <w:r>
        <w:t>California</w:t>
      </w:r>
      <w:r w:rsidRPr="00F26AE6">
        <w:t xml:space="preserve"> community colleges when it involves the transcription of CPL, leading to inconsistencies in how colleges accept transcripts from other community colleges within the state;</w:t>
      </w:r>
    </w:p>
    <w:p w14:paraId="37B38EBA" w14:textId="78193325" w:rsidR="005F14ED" w:rsidRPr="00F26AE6" w:rsidRDefault="005F14ED" w:rsidP="005F14ED">
      <w:r w:rsidRPr="00F26AE6">
        <w:rPr>
          <w:bCs/>
        </w:rPr>
        <w:t>Whereas</w:t>
      </w:r>
      <w:r w:rsidRPr="00F26AE6">
        <w:t xml:space="preserve">, </w:t>
      </w:r>
      <w:r>
        <w:t>S</w:t>
      </w:r>
      <w:r w:rsidRPr="00F26AE6">
        <w:t>ome evaluators within colleges and districts already accept official transcripts of courses completed or awarded using CPL without question, while others create roadblocks for students, not accepting these official transcripts</w:t>
      </w:r>
      <w:r w:rsidR="0029760B">
        <w:t xml:space="preserve"> and </w:t>
      </w:r>
      <w:r w:rsidRPr="00F26AE6">
        <w:t>thereby impacting student progress;</w:t>
      </w:r>
      <w:r>
        <w:t xml:space="preserve"> and</w:t>
      </w:r>
    </w:p>
    <w:p w14:paraId="7E775207" w14:textId="79CC0C46" w:rsidR="005F14ED" w:rsidRPr="00F26AE6" w:rsidRDefault="005F14ED" w:rsidP="005F14ED">
      <w:r w:rsidRPr="00F26AE6">
        <w:rPr>
          <w:bCs/>
        </w:rPr>
        <w:t>Whereas</w:t>
      </w:r>
      <w:r w:rsidRPr="00F26AE6">
        <w:t xml:space="preserve">, </w:t>
      </w:r>
      <w:r>
        <w:t>T</w:t>
      </w:r>
      <w:r w:rsidRPr="00F26AE6">
        <w:t>here is a difference between transcript reciprocity and articulation reciprocity</w:t>
      </w:r>
      <w:r>
        <w:t xml:space="preserve">, whereby transcript reciprocity </w:t>
      </w:r>
      <w:r w:rsidRPr="00F26AE6">
        <w:t>focuses on the acceptance of official transcripts from one institution by another, simplifying the transfer process by recognizing the credits and grades from the sending institution's transcripts without requiring a detailed course-by-course evaluation</w:t>
      </w:r>
      <w:r>
        <w:t xml:space="preserve">, and articulation reciprocity </w:t>
      </w:r>
      <w:r w:rsidRPr="00F26AE6">
        <w:t>refers to agreements between institutions that ensure a smooth transfer process for students, outlining how credits from one institution will be recognized and applied toward degree requirements at another institution</w:t>
      </w:r>
      <w:r w:rsidR="0029760B">
        <w:t xml:space="preserve">, but </w:t>
      </w:r>
      <w:r w:rsidRPr="00F26AE6">
        <w:t>with the current curriculum structure, course outlines of records and learning outcomes may not always align with the receiving college, creating conflicts;</w:t>
      </w:r>
    </w:p>
    <w:p w14:paraId="4292DC4A" w14:textId="6D207862" w:rsidR="005F14ED" w:rsidRPr="00261EE1" w:rsidRDefault="005F14ED" w:rsidP="005F14ED">
      <w:r w:rsidRPr="00E44F7E">
        <w:t xml:space="preserve">Resolved, </w:t>
      </w:r>
      <w:r w:rsidRPr="008F0816">
        <w:t>That the Academic Senate for California Community Colleges</w:t>
      </w:r>
      <w:r w:rsidRPr="00261EE1">
        <w:t xml:space="preserve"> recommend the development of a standardized transcript reciprocity policy within the California Community </w:t>
      </w:r>
      <w:r w:rsidRPr="00884BD5">
        <w:t>College</w:t>
      </w:r>
      <w:r>
        <w:t>s</w:t>
      </w:r>
      <w:r w:rsidRPr="008F0816">
        <w:t xml:space="preserve"> system, aligned with the California State University</w:t>
      </w:r>
      <w:r w:rsidRPr="00261EE1">
        <w:t xml:space="preserve"> policy for </w:t>
      </w:r>
      <w:r w:rsidR="0029760B">
        <w:t>c</w:t>
      </w:r>
      <w:r w:rsidRPr="00261EE1">
        <w:t xml:space="preserve">redit for </w:t>
      </w:r>
      <w:r w:rsidR="0029760B">
        <w:t>p</w:t>
      </w:r>
      <w:r w:rsidRPr="00261EE1">
        <w:t xml:space="preserve">rior </w:t>
      </w:r>
      <w:r w:rsidR="0029760B">
        <w:t>l</w:t>
      </w:r>
      <w:r w:rsidRPr="00261EE1">
        <w:t>earning</w:t>
      </w:r>
      <w:r w:rsidR="0029760B">
        <w:t>, as t</w:t>
      </w:r>
      <w:r w:rsidRPr="00261EE1">
        <w:t xml:space="preserve">his policy </w:t>
      </w:r>
      <w:r w:rsidR="0029760B">
        <w:t xml:space="preserve">would </w:t>
      </w:r>
      <w:r w:rsidRPr="00261EE1">
        <w:t>ensure that CPL credits and grades are accepted and applied toward transfer requirements without additional evaluations; and</w:t>
      </w:r>
    </w:p>
    <w:p w14:paraId="1719E591" w14:textId="3AC12FD5" w:rsidR="005F14ED" w:rsidRPr="00F26AE6" w:rsidRDefault="005F14ED" w:rsidP="005F14ED">
      <w:r w:rsidRPr="00E44F7E">
        <w:t>Resolved</w:t>
      </w:r>
      <w:r w:rsidRPr="00F26AE6">
        <w:t xml:space="preserve">, </w:t>
      </w:r>
      <w:r>
        <w:t>T</w:t>
      </w:r>
      <w:r w:rsidRPr="00F26AE6">
        <w:t>hat the Academic Senate for California Community Colleges encourage the University of California to consider adopting a similar policy to promote student mobility and ensure equitable access to educational opportunities.</w:t>
      </w:r>
      <w:r>
        <w:t xml:space="preserve"> </w:t>
      </w:r>
    </w:p>
    <w:p w14:paraId="06F09747" w14:textId="5E48E3F4" w:rsidR="00FF48A1" w:rsidRPr="005F14ED" w:rsidRDefault="005F14ED" w:rsidP="005F14ED">
      <w:pPr>
        <w:rPr>
          <w:rStyle w:val="eop"/>
        </w:rPr>
      </w:pPr>
      <w:r w:rsidRPr="00F26AE6">
        <w:t>Contact: Dr. Sigrid Williams, Norco College, Area D</w:t>
      </w:r>
    </w:p>
    <w:p w14:paraId="7F331352" w14:textId="326FD2A3" w:rsidR="00FF48A1" w:rsidRDefault="00FF48A1" w:rsidP="00D05553">
      <w:pPr>
        <w:pStyle w:val="paragraph"/>
        <w:spacing w:before="0" w:beforeAutospacing="0" w:after="0" w:afterAutospacing="0"/>
        <w:textAlignment w:val="baseline"/>
        <w:rPr>
          <w:rStyle w:val="eop"/>
          <w:rFonts w:asciiTheme="minorHAnsi" w:hAnsiTheme="minorHAnsi" w:cstheme="minorHAnsi"/>
        </w:rPr>
      </w:pPr>
      <w:r>
        <w:rPr>
          <w:rStyle w:val="eop"/>
          <w:rFonts w:asciiTheme="minorHAnsi" w:hAnsiTheme="minorHAnsi" w:cstheme="minorHAnsi"/>
        </w:rPr>
        <w:t>MSF</w:t>
      </w:r>
    </w:p>
    <w:p w14:paraId="4291D3F0" w14:textId="7AD66C74" w:rsidR="00F9691E" w:rsidRPr="00F9691E" w:rsidRDefault="00F9691E" w:rsidP="00F46FD9">
      <w:pPr>
        <w:pStyle w:val="Heading2"/>
      </w:pPr>
      <w:bookmarkStart w:id="125" w:name="_Toc195691360"/>
      <w:bookmarkStart w:id="126" w:name="_Toc196496766"/>
      <w:bookmarkStart w:id="127" w:name="_Toc196500321"/>
      <w:bookmarkStart w:id="128" w:name="_Toc197090199"/>
      <w:r w:rsidRPr="007B00F5">
        <w:lastRenderedPageBreak/>
        <w:t xml:space="preserve">104.01.01 S25 </w:t>
      </w:r>
      <w:r>
        <w:t xml:space="preserve">Amend </w:t>
      </w:r>
      <w:r w:rsidRPr="007B00F5">
        <w:t>104.01 S25 Reimagining Transfer Alignment Efforts</w:t>
      </w:r>
      <w:bookmarkEnd w:id="125"/>
      <w:bookmarkEnd w:id="126"/>
      <w:bookmarkEnd w:id="127"/>
      <w:bookmarkEnd w:id="128"/>
    </w:p>
    <w:p w14:paraId="4C626888" w14:textId="77777777" w:rsidR="00F9691E" w:rsidRDefault="00F9691E" w:rsidP="00F9691E">
      <w:pPr>
        <w:spacing w:line="276" w:lineRule="auto"/>
        <w:rPr>
          <w:rFonts w:cstheme="minorHAnsi"/>
          <w:color w:val="0A0A0A"/>
        </w:rPr>
      </w:pPr>
      <w:r w:rsidRPr="003743B3">
        <w:rPr>
          <w:rFonts w:cstheme="minorHAnsi"/>
          <w:bCs/>
          <w:color w:val="0A0A0A"/>
        </w:rPr>
        <w:t>Replace 3</w:t>
      </w:r>
      <w:r w:rsidRPr="003743B3">
        <w:rPr>
          <w:rFonts w:cstheme="minorHAnsi"/>
          <w:bCs/>
          <w:color w:val="0A0A0A"/>
          <w:vertAlign w:val="superscript"/>
        </w:rPr>
        <w:t>rd</w:t>
      </w:r>
      <w:r w:rsidRPr="003743B3">
        <w:rPr>
          <w:rFonts w:cstheme="minorHAnsi"/>
          <w:bCs/>
          <w:color w:val="0A0A0A"/>
        </w:rPr>
        <w:t xml:space="preserve"> </w:t>
      </w:r>
      <w:r>
        <w:rPr>
          <w:rFonts w:cstheme="minorHAnsi"/>
          <w:bCs/>
          <w:color w:val="0A0A0A"/>
        </w:rPr>
        <w:t>w</w:t>
      </w:r>
      <w:r w:rsidRPr="003743B3">
        <w:rPr>
          <w:rFonts w:cstheme="minorHAnsi"/>
          <w:bCs/>
          <w:color w:val="0A0A0A"/>
        </w:rPr>
        <w:t>hereas:</w:t>
      </w:r>
      <w:r w:rsidRPr="003743B3">
        <w:rPr>
          <w:rFonts w:cstheme="minorHAnsi"/>
          <w:color w:val="0A0A0A"/>
        </w:rPr>
        <w:t> </w:t>
      </w:r>
    </w:p>
    <w:p w14:paraId="7650FC46" w14:textId="77777777" w:rsidR="00F9691E" w:rsidRPr="003743B3" w:rsidRDefault="00F9691E" w:rsidP="00F9691E">
      <w:pPr>
        <w:rPr>
          <w:rFonts w:ascii="Calibri" w:hAnsi="Calibri" w:cs="Calibri"/>
          <w:strike/>
          <w:color w:val="0A0A0A"/>
          <w:shd w:val="clear" w:color="auto" w:fill="FFFFFF"/>
        </w:rPr>
      </w:pPr>
      <w:r w:rsidRPr="003743B3">
        <w:rPr>
          <w:rFonts w:ascii="Calibri" w:hAnsi="Calibri" w:cs="Calibri"/>
          <w:strike/>
          <w:color w:val="0A0A0A"/>
          <w:shd w:val="clear" w:color="auto" w:fill="FFFFFF"/>
        </w:rPr>
        <w:t>Whereas, Many UC Transfer Pathways (UCTPs)</w:t>
      </w:r>
      <w:r w:rsidRPr="003743B3">
        <w:rPr>
          <w:rStyle w:val="FootnoteReference"/>
          <w:rFonts w:cs="Calibri"/>
          <w:strike/>
          <w:color w:val="0A0A0A"/>
          <w:shd w:val="clear" w:color="auto" w:fill="FFFFFF"/>
        </w:rPr>
        <w:footnoteReference w:id="46"/>
      </w:r>
      <w:r w:rsidRPr="003743B3">
        <w:rPr>
          <w:rFonts w:ascii="Calibri" w:hAnsi="Calibri" w:cs="Calibri"/>
          <w:strike/>
          <w:color w:val="0A0A0A"/>
          <w:shd w:val="clear" w:color="auto" w:fill="FFFFFF"/>
        </w:rPr>
        <w:t xml:space="preserve"> in high unit science, technology, engineering, and mathematics (STEM) disciplines cannot be converted into a TMC, even with modifications to the California General Education Transfer Curriculum (Cal-GETC)</w:t>
      </w:r>
      <w:r w:rsidRPr="003743B3">
        <w:rPr>
          <w:rStyle w:val="FootnoteReference"/>
          <w:rFonts w:cs="Calibri"/>
          <w:strike/>
          <w:color w:val="0A0A0A"/>
          <w:shd w:val="clear" w:color="auto" w:fill="FFFFFF"/>
        </w:rPr>
        <w:footnoteReference w:id="47"/>
      </w:r>
      <w:r w:rsidRPr="003743B3">
        <w:rPr>
          <w:rFonts w:ascii="Calibri" w:hAnsi="Calibri" w:cs="Calibri"/>
          <w:strike/>
          <w:color w:val="0A0A0A"/>
          <w:shd w:val="clear" w:color="auto" w:fill="FFFFFF"/>
        </w:rPr>
        <w:t>, because they have too many units to fit within the 66 units permitted by AB 2057 (Berman, 2023)</w:t>
      </w:r>
      <w:r w:rsidRPr="003743B3">
        <w:rPr>
          <w:rStyle w:val="FootnoteReference"/>
          <w:rFonts w:cs="Calibri"/>
          <w:strike/>
          <w:color w:val="0A0A0A"/>
          <w:shd w:val="clear" w:color="auto" w:fill="FFFFFF"/>
        </w:rPr>
        <w:footnoteReference w:id="48"/>
      </w:r>
      <w:r w:rsidRPr="003743B3">
        <w:rPr>
          <w:rFonts w:ascii="Calibri" w:hAnsi="Calibri" w:cs="Calibri"/>
          <w:strike/>
          <w:color w:val="0A0A0A"/>
          <w:shd w:val="clear" w:color="auto" w:fill="FFFFFF"/>
        </w:rPr>
        <w:t xml:space="preserve"> requiring removal of courses from the preferred major preparation to create a compliant Associate Degree for Transfer (ADT); and</w:t>
      </w:r>
    </w:p>
    <w:p w14:paraId="1BEB0597" w14:textId="451B9E66" w:rsidR="00F9691E" w:rsidRPr="002C475B" w:rsidRDefault="00F9691E" w:rsidP="00F9691E">
      <w:pPr>
        <w:spacing w:line="276" w:lineRule="auto"/>
        <w:rPr>
          <w:rFonts w:cstheme="minorHAnsi"/>
          <w:color w:val="0A0A0A"/>
          <w:u w:val="single"/>
        </w:rPr>
      </w:pPr>
      <w:r w:rsidRPr="002C475B">
        <w:rPr>
          <w:rFonts w:cstheme="minorHAnsi"/>
          <w:color w:val="0A0A0A"/>
          <w:u w:val="single"/>
        </w:rPr>
        <w:t xml:space="preserve">Whereas, TMCs in a number of majors including </w:t>
      </w:r>
      <w:r w:rsidR="0035041C">
        <w:rPr>
          <w:rFonts w:cstheme="minorHAnsi"/>
          <w:color w:val="0A0A0A"/>
          <w:u w:val="single"/>
        </w:rPr>
        <w:t>b</w:t>
      </w:r>
      <w:r w:rsidRPr="002C475B">
        <w:rPr>
          <w:rFonts w:cstheme="minorHAnsi"/>
          <w:color w:val="0A0A0A"/>
          <w:u w:val="single"/>
        </w:rPr>
        <w:t xml:space="preserve">usiness </w:t>
      </w:r>
      <w:r w:rsidR="0035041C">
        <w:rPr>
          <w:rFonts w:cstheme="minorHAnsi"/>
          <w:color w:val="0A0A0A"/>
          <w:u w:val="single"/>
        </w:rPr>
        <w:t>a</w:t>
      </w:r>
      <w:r w:rsidRPr="002C475B">
        <w:rPr>
          <w:rFonts w:cstheme="minorHAnsi"/>
          <w:color w:val="0A0A0A"/>
          <w:u w:val="single"/>
        </w:rPr>
        <w:t>dministration</w:t>
      </w:r>
      <w:r w:rsidR="0035041C">
        <w:rPr>
          <w:rFonts w:cstheme="minorHAnsi"/>
          <w:color w:val="0A0A0A"/>
          <w:u w:val="single"/>
        </w:rPr>
        <w:t>,</w:t>
      </w:r>
      <w:r w:rsidRPr="002C475B">
        <w:rPr>
          <w:rFonts w:cstheme="minorHAnsi"/>
          <w:color w:val="0A0A0A"/>
          <w:u w:val="single"/>
        </w:rPr>
        <w:t xml:space="preserve"> </w:t>
      </w:r>
      <w:r w:rsidR="0035041C">
        <w:rPr>
          <w:rFonts w:cstheme="minorHAnsi"/>
          <w:color w:val="0A0A0A"/>
          <w:u w:val="single"/>
        </w:rPr>
        <w:t>l</w:t>
      </w:r>
      <w:r w:rsidRPr="002C475B">
        <w:rPr>
          <w:rFonts w:cstheme="minorHAnsi"/>
          <w:color w:val="0A0A0A"/>
          <w:u w:val="single"/>
        </w:rPr>
        <w:t xml:space="preserve">aw, </w:t>
      </w:r>
      <w:r w:rsidR="0035041C">
        <w:rPr>
          <w:rFonts w:cstheme="minorHAnsi"/>
          <w:color w:val="0A0A0A"/>
          <w:u w:val="single"/>
        </w:rPr>
        <w:t>p</w:t>
      </w:r>
      <w:r w:rsidRPr="002C475B">
        <w:rPr>
          <w:rFonts w:cstheme="minorHAnsi"/>
          <w:color w:val="0A0A0A"/>
          <w:u w:val="single"/>
        </w:rPr>
        <w:t xml:space="preserve">ublic </w:t>
      </w:r>
      <w:r w:rsidR="0035041C">
        <w:rPr>
          <w:rFonts w:cstheme="minorHAnsi"/>
          <w:color w:val="0A0A0A"/>
          <w:u w:val="single"/>
        </w:rPr>
        <w:t>p</w:t>
      </w:r>
      <w:r w:rsidRPr="002C475B">
        <w:rPr>
          <w:rFonts w:cstheme="minorHAnsi"/>
          <w:color w:val="0A0A0A"/>
          <w:u w:val="single"/>
        </w:rPr>
        <w:t xml:space="preserve">olicy, and </w:t>
      </w:r>
      <w:r w:rsidR="0035041C">
        <w:rPr>
          <w:rFonts w:cstheme="minorHAnsi"/>
          <w:color w:val="0A0A0A"/>
          <w:u w:val="single"/>
        </w:rPr>
        <w:t>s</w:t>
      </w:r>
      <w:r w:rsidRPr="002C475B">
        <w:rPr>
          <w:rFonts w:cstheme="minorHAnsi"/>
          <w:color w:val="0A0A0A"/>
          <w:u w:val="single"/>
        </w:rPr>
        <w:t>ociety</w:t>
      </w:r>
      <w:r w:rsidR="0035041C">
        <w:rPr>
          <w:rFonts w:cstheme="minorHAnsi"/>
          <w:color w:val="0A0A0A"/>
          <w:u w:val="single"/>
        </w:rPr>
        <w:t>,</w:t>
      </w:r>
      <w:r w:rsidRPr="002C475B">
        <w:rPr>
          <w:rFonts w:cstheme="minorHAnsi"/>
          <w:color w:val="0A0A0A"/>
          <w:u w:val="single"/>
        </w:rPr>
        <w:t xml:space="preserve"> and some science, technology, engineering, and mathematics disciplines do not include the full or correct major preparation coursework; and</w:t>
      </w:r>
    </w:p>
    <w:p w14:paraId="22422496" w14:textId="77777777" w:rsidR="00F9691E" w:rsidRDefault="00F9691E" w:rsidP="00F9691E">
      <w:pPr>
        <w:spacing w:line="276" w:lineRule="auto"/>
        <w:rPr>
          <w:rFonts w:cstheme="minorHAnsi"/>
          <w:color w:val="0A0A0A"/>
        </w:rPr>
      </w:pPr>
      <w:r>
        <w:rPr>
          <w:rFonts w:cstheme="minorHAnsi"/>
          <w:bCs/>
          <w:color w:val="0A0A0A"/>
        </w:rPr>
        <w:t>Amend the</w:t>
      </w:r>
      <w:r w:rsidRPr="003743B3">
        <w:rPr>
          <w:rFonts w:cstheme="minorHAnsi"/>
          <w:bCs/>
          <w:color w:val="0A0A0A"/>
        </w:rPr>
        <w:t xml:space="preserve"> </w:t>
      </w:r>
      <w:r>
        <w:rPr>
          <w:rFonts w:cstheme="minorHAnsi"/>
          <w:bCs/>
          <w:color w:val="0A0A0A"/>
        </w:rPr>
        <w:t>r</w:t>
      </w:r>
      <w:r w:rsidRPr="003743B3">
        <w:rPr>
          <w:rFonts w:cstheme="minorHAnsi"/>
          <w:bCs/>
          <w:color w:val="0A0A0A"/>
        </w:rPr>
        <w:t>esolved:</w:t>
      </w:r>
      <w:r w:rsidRPr="003743B3">
        <w:rPr>
          <w:rFonts w:cstheme="minorHAnsi"/>
          <w:color w:val="0A0A0A"/>
        </w:rPr>
        <w:t> </w:t>
      </w:r>
    </w:p>
    <w:p w14:paraId="5E8240D8" w14:textId="1800BFDB" w:rsidR="00F9691E" w:rsidRPr="003743B3" w:rsidRDefault="00F9691E" w:rsidP="00F9691E">
      <w:pPr>
        <w:spacing w:line="276" w:lineRule="auto"/>
        <w:rPr>
          <w:rFonts w:cstheme="minorHAnsi"/>
          <w:color w:val="0A0A0A"/>
        </w:rPr>
      </w:pPr>
      <w:r w:rsidRPr="22ED6E80">
        <w:rPr>
          <w:rFonts w:ascii="Calibri" w:hAnsi="Calibri" w:cs="Calibri"/>
          <w:color w:val="0A0A0A"/>
          <w:shd w:val="clear" w:color="auto" w:fill="FFFFFF"/>
        </w:rPr>
        <w:t xml:space="preserve">Resolved, That the Academic Senate for California Community Colleges work with the Academic Senates of the California State University and the University of California and each segment’s systems office to </w:t>
      </w:r>
      <w:r w:rsidRPr="003743B3">
        <w:rPr>
          <w:rFonts w:ascii="Calibri" w:hAnsi="Calibri" w:cs="Calibri"/>
          <w:strike/>
          <w:color w:val="0A0A0A"/>
          <w:shd w:val="clear" w:color="auto" w:fill="FFFFFF"/>
        </w:rPr>
        <w:t xml:space="preserve">propose and develop an aligned alternative to the Associate Degree for Transfer for high unit </w:t>
      </w:r>
      <w:r w:rsidRPr="003743B3">
        <w:rPr>
          <w:rFonts w:ascii="Calibri" w:hAnsi="Calibri" w:cs="Calibri"/>
          <w:strike/>
          <w:color w:val="0A0A0A"/>
        </w:rPr>
        <w:t>science, technology, engineering, and mathematics (STEM)</w:t>
      </w:r>
      <w:r w:rsidRPr="003743B3">
        <w:rPr>
          <w:rFonts w:ascii="Calibri" w:hAnsi="Calibri" w:cs="Calibri"/>
          <w:strike/>
          <w:color w:val="0A0A0A"/>
          <w:shd w:val="clear" w:color="auto" w:fill="FFFFFF"/>
        </w:rPr>
        <w:t xml:space="preserve"> majors that includes guaranteed admission and any major preparation course required by either segment</w:t>
      </w:r>
      <w:r w:rsidRPr="003743B3">
        <w:rPr>
          <w:rFonts w:ascii="Calibri" w:hAnsi="Calibri" w:cs="Calibri"/>
          <w:strike/>
          <w:color w:val="0A0A0A"/>
        </w:rPr>
        <w:t>.</w:t>
      </w:r>
      <w:r w:rsidRPr="22ED6E80">
        <w:rPr>
          <w:rFonts w:ascii="Calibri" w:hAnsi="Calibri" w:cs="Calibri"/>
          <w:color w:val="0A0A0A"/>
        </w:rPr>
        <w:t xml:space="preserve"> </w:t>
      </w:r>
      <w:r w:rsidRPr="002C475B">
        <w:rPr>
          <w:rFonts w:ascii="Calibri" w:hAnsi="Calibri" w:cs="Calibri"/>
          <w:color w:val="0A0A0A"/>
          <w:u w:val="single"/>
        </w:rPr>
        <w:t>d</w:t>
      </w:r>
      <w:r w:rsidRPr="002C475B">
        <w:rPr>
          <w:rFonts w:cstheme="minorHAnsi"/>
          <w:color w:val="0A0A0A"/>
          <w:u w:val="single"/>
        </w:rPr>
        <w:t xml:space="preserve">evelop a programmatic alternative to the </w:t>
      </w:r>
      <w:r w:rsidR="0035041C">
        <w:rPr>
          <w:rFonts w:cstheme="minorHAnsi"/>
          <w:color w:val="0A0A0A"/>
          <w:u w:val="single"/>
        </w:rPr>
        <w:t>a</w:t>
      </w:r>
      <w:r w:rsidRPr="002C475B">
        <w:rPr>
          <w:rFonts w:cstheme="minorHAnsi"/>
          <w:color w:val="0A0A0A"/>
          <w:u w:val="single"/>
        </w:rPr>
        <w:t xml:space="preserve">ssociate </w:t>
      </w:r>
      <w:r w:rsidR="0035041C">
        <w:rPr>
          <w:rFonts w:cstheme="minorHAnsi"/>
          <w:color w:val="0A0A0A"/>
          <w:u w:val="single"/>
        </w:rPr>
        <w:t>d</w:t>
      </w:r>
      <w:r w:rsidRPr="002C475B">
        <w:rPr>
          <w:rFonts w:cstheme="minorHAnsi"/>
          <w:color w:val="0A0A0A"/>
          <w:u w:val="single"/>
        </w:rPr>
        <w:t xml:space="preserve">egree for </w:t>
      </w:r>
      <w:r w:rsidR="0035041C">
        <w:rPr>
          <w:rFonts w:cstheme="minorHAnsi"/>
          <w:color w:val="0A0A0A"/>
          <w:u w:val="single"/>
        </w:rPr>
        <w:t>t</w:t>
      </w:r>
      <w:r w:rsidRPr="002C475B">
        <w:rPr>
          <w:rFonts w:cstheme="minorHAnsi"/>
          <w:color w:val="0A0A0A"/>
          <w:u w:val="single"/>
        </w:rPr>
        <w:t>ransfer that provides the same level of priority admission for students who complete the correct ASSIST.org-articulated major preparation coursework for their intended CSU or UC campus.</w:t>
      </w:r>
    </w:p>
    <w:p w14:paraId="45FE7AB5" w14:textId="77777777" w:rsidR="00F9691E" w:rsidRPr="00C00096" w:rsidDel="00814F07" w:rsidRDefault="00F9691E" w:rsidP="00F9691E">
      <w:pPr>
        <w:rPr>
          <w:rFonts w:ascii="Calibri" w:hAnsi="Calibri" w:cs="Calibri"/>
        </w:rPr>
      </w:pPr>
      <w:r w:rsidRPr="00C00096">
        <w:rPr>
          <w:rFonts w:cstheme="minorHAnsi"/>
        </w:rPr>
        <w:t>Contact: Pablo Martin, San Diego Miramar College</w:t>
      </w:r>
      <w:r w:rsidRPr="00C00096">
        <w:rPr>
          <w:rFonts w:ascii="Calibri" w:hAnsi="Calibri" w:cs="Calibri"/>
          <w:shd w:val="clear" w:color="auto" w:fill="FFFFFF"/>
        </w:rPr>
        <w:t xml:space="preserve"> </w:t>
      </w:r>
    </w:p>
    <w:p w14:paraId="392F75E6" w14:textId="0F0BA923" w:rsidR="001A674C" w:rsidRPr="00154B46" w:rsidRDefault="00F644E0" w:rsidP="004376B5">
      <w:r>
        <w:t>MSF</w:t>
      </w:r>
    </w:p>
    <w:p w14:paraId="1901C0CE" w14:textId="77777777" w:rsidR="001A674C" w:rsidRPr="00CE4C0A" w:rsidRDefault="001A674C" w:rsidP="001A674C">
      <w:pPr>
        <w:pStyle w:val="Heading2"/>
      </w:pPr>
      <w:bookmarkStart w:id="129" w:name="_Toc197090200"/>
      <w:r>
        <w:t xml:space="preserve">114.02 S25 </w:t>
      </w:r>
      <w:r w:rsidRPr="00F26AE6">
        <w:t>Advocating for Systemwide Access to AI Tools and Training</w:t>
      </w:r>
      <w:bookmarkEnd w:id="129"/>
    </w:p>
    <w:p w14:paraId="734E5E5F" w14:textId="094F3379" w:rsidR="001A674C" w:rsidRPr="00F26AE6" w:rsidRDefault="001A674C" w:rsidP="001A674C">
      <w:pPr>
        <w:spacing w:before="240"/>
        <w:rPr>
          <w:rFonts w:ascii="Calibri" w:hAnsi="Calibri" w:cs="Calibri"/>
        </w:rPr>
      </w:pPr>
      <w:r w:rsidRPr="00F26AE6">
        <w:rPr>
          <w:rFonts w:ascii="Calibri" w:hAnsi="Calibri" w:cs="Calibri"/>
        </w:rPr>
        <w:t xml:space="preserve">Whereas, </w:t>
      </w:r>
      <w:r>
        <w:rPr>
          <w:rFonts w:ascii="Calibri" w:hAnsi="Calibri" w:cs="Calibri"/>
        </w:rPr>
        <w:t>T</w:t>
      </w:r>
      <w:r w:rsidRPr="00F26AE6">
        <w:rPr>
          <w:rFonts w:ascii="Calibri" w:hAnsi="Calibri" w:cs="Calibri"/>
        </w:rPr>
        <w:t>he California State University and University of California systems have launched major systemwide artificial intelligence (AI) initiatives to provide coordinated access to tools, training, and research capacity</w:t>
      </w:r>
      <w:r w:rsidR="0035041C">
        <w:rPr>
          <w:rFonts w:ascii="Calibri" w:hAnsi="Calibri" w:cs="Calibri"/>
        </w:rPr>
        <w:t>,</w:t>
      </w:r>
      <w:r w:rsidRPr="00F26AE6">
        <w:rPr>
          <w:rFonts w:ascii="Calibri" w:hAnsi="Calibri" w:cs="Calibri"/>
        </w:rPr>
        <w:t xml:space="preserve"> thus ensuring their students, faculty, and staff are prepared to engage with evolving technologies and workforce needs</w:t>
      </w:r>
      <w:r w:rsidRPr="00F26AE6">
        <w:rPr>
          <w:rStyle w:val="FootnoteReference"/>
          <w:rFonts w:ascii="Calibri" w:hAnsi="Calibri" w:cs="Calibri"/>
          <w:sz w:val="22"/>
        </w:rPr>
        <w:footnoteReference w:id="49"/>
      </w:r>
      <w:r w:rsidRPr="00F26AE6">
        <w:rPr>
          <w:rFonts w:ascii="Calibri" w:hAnsi="Calibri" w:cs="Calibri"/>
        </w:rPr>
        <w:t>;</w:t>
      </w:r>
    </w:p>
    <w:p w14:paraId="208763EA" w14:textId="77777777" w:rsidR="001A674C" w:rsidRPr="00F26AE6" w:rsidRDefault="001A674C" w:rsidP="001A674C">
      <w:pPr>
        <w:spacing w:before="240"/>
        <w:rPr>
          <w:rFonts w:ascii="Calibri" w:hAnsi="Calibri" w:cs="Calibri"/>
        </w:rPr>
      </w:pPr>
      <w:r w:rsidRPr="00F26AE6">
        <w:rPr>
          <w:rFonts w:ascii="Calibri" w:hAnsi="Calibri" w:cs="Calibri"/>
        </w:rPr>
        <w:lastRenderedPageBreak/>
        <w:t xml:space="preserve">Whereas, </w:t>
      </w:r>
      <w:r>
        <w:rPr>
          <w:rFonts w:ascii="Calibri" w:hAnsi="Calibri" w:cs="Calibri"/>
        </w:rPr>
        <w:t>T</w:t>
      </w:r>
      <w:r w:rsidRPr="00F26AE6">
        <w:rPr>
          <w:rFonts w:ascii="Calibri" w:hAnsi="Calibri" w:cs="Calibri"/>
        </w:rPr>
        <w:t xml:space="preserve">he California </w:t>
      </w:r>
      <w:r>
        <w:rPr>
          <w:rFonts w:ascii="Calibri" w:hAnsi="Calibri" w:cs="Calibri"/>
        </w:rPr>
        <w:t>co</w:t>
      </w:r>
      <w:r w:rsidRPr="00F26AE6">
        <w:rPr>
          <w:rFonts w:ascii="Calibri" w:hAnsi="Calibri" w:cs="Calibri"/>
        </w:rPr>
        <w:t xml:space="preserve">mmunity </w:t>
      </w:r>
      <w:r>
        <w:rPr>
          <w:rFonts w:ascii="Calibri" w:hAnsi="Calibri" w:cs="Calibri"/>
        </w:rPr>
        <w:t>c</w:t>
      </w:r>
      <w:r w:rsidRPr="00F26AE6">
        <w:rPr>
          <w:rFonts w:ascii="Calibri" w:hAnsi="Calibri" w:cs="Calibri"/>
        </w:rPr>
        <w:t>olleges are currently the only public higher education system in California without funded systemwide access to vetted AI tools and training, leaving 116 colleges to navigate implementation independently, which exacerbates inequities, strains local budgets, and hinders coordinated innovation;</w:t>
      </w:r>
    </w:p>
    <w:p w14:paraId="0510D629" w14:textId="77777777" w:rsidR="001A674C" w:rsidRPr="00F26AE6" w:rsidRDefault="001A674C" w:rsidP="001A674C">
      <w:pPr>
        <w:spacing w:before="240"/>
        <w:rPr>
          <w:rFonts w:ascii="Calibri" w:hAnsi="Calibri" w:cs="Calibri"/>
        </w:rPr>
      </w:pPr>
      <w:r w:rsidRPr="00F26AE6">
        <w:rPr>
          <w:rFonts w:ascii="Calibri" w:hAnsi="Calibri" w:cs="Calibri"/>
        </w:rPr>
        <w:t xml:space="preserve">Whereas, </w:t>
      </w:r>
      <w:r w:rsidRPr="00F26AE6">
        <w:rPr>
          <w:rFonts w:ascii="Calibri" w:hAnsi="Calibri" w:cs="Calibri"/>
          <w:i/>
          <w:iCs/>
        </w:rPr>
        <w:t>Vision 2030</w:t>
      </w:r>
      <w:r w:rsidRPr="00F26AE6">
        <w:rPr>
          <w:rFonts w:ascii="Calibri" w:hAnsi="Calibri" w:cs="Calibri"/>
        </w:rPr>
        <w:t xml:space="preserve"> calls on the California Community Colleges to “embrace emerging technologies such as artificial intelligence to prepare students for jobs of the future and support educators in adapting to rapidly evolving tools and pedagogies,” directly linking AI adoption to the system’s goals for workforce responsiveness, equity, and academic excellence</w:t>
      </w:r>
      <w:r w:rsidRPr="00F26AE6">
        <w:rPr>
          <w:rStyle w:val="FootnoteReference"/>
          <w:rFonts w:ascii="Calibri" w:hAnsi="Calibri" w:cs="Calibri"/>
          <w:sz w:val="22"/>
        </w:rPr>
        <w:footnoteReference w:id="50"/>
      </w:r>
      <w:r w:rsidRPr="00F26AE6">
        <w:rPr>
          <w:rFonts w:ascii="Calibri" w:hAnsi="Calibri" w:cs="Calibri"/>
        </w:rPr>
        <w:t>; and</w:t>
      </w:r>
    </w:p>
    <w:p w14:paraId="71F4A7AD" w14:textId="77777777" w:rsidR="001A674C" w:rsidRPr="00F26AE6" w:rsidRDefault="001A674C" w:rsidP="001A674C">
      <w:pPr>
        <w:spacing w:before="240"/>
        <w:rPr>
          <w:rFonts w:ascii="Calibri" w:hAnsi="Calibri" w:cs="Calibri"/>
        </w:rPr>
      </w:pPr>
      <w:r w:rsidRPr="00F26AE6">
        <w:rPr>
          <w:rFonts w:ascii="Calibri" w:hAnsi="Calibri" w:cs="Calibri"/>
        </w:rPr>
        <w:t xml:space="preserve">Whereas, </w:t>
      </w:r>
      <w:r>
        <w:rPr>
          <w:rFonts w:ascii="Calibri" w:hAnsi="Calibri" w:cs="Calibri"/>
        </w:rPr>
        <w:t>T</w:t>
      </w:r>
      <w:r w:rsidRPr="00F26AE6">
        <w:rPr>
          <w:rFonts w:ascii="Calibri" w:hAnsi="Calibri" w:cs="Calibri"/>
        </w:rPr>
        <w:t>he absence of centralized AI support results in duplication of effort and spending, as local colleges independently evaluate tools, negotiate licenses, and develop training creating inefficiencies that a systemwide strategy could address through shared procurement, equitable rollout, and coordinated professional development;</w:t>
      </w:r>
    </w:p>
    <w:p w14:paraId="51D18E4F" w14:textId="6FCCE722" w:rsidR="001A674C" w:rsidRPr="00F26AE6" w:rsidRDefault="001A674C" w:rsidP="001A674C">
      <w:pPr>
        <w:spacing w:before="240"/>
        <w:rPr>
          <w:rFonts w:ascii="Calibri" w:hAnsi="Calibri" w:cs="Calibri"/>
        </w:rPr>
      </w:pPr>
      <w:r w:rsidRPr="00F26AE6">
        <w:rPr>
          <w:rFonts w:ascii="Calibri" w:hAnsi="Calibri" w:cs="Calibri"/>
        </w:rPr>
        <w:t xml:space="preserve">Resolved, </w:t>
      </w:r>
      <w:r w:rsidR="001F39EE">
        <w:rPr>
          <w:rFonts w:ascii="Calibri" w:hAnsi="Calibri" w:cs="Calibri"/>
        </w:rPr>
        <w:t>T</w:t>
      </w:r>
      <w:r w:rsidRPr="00F26AE6">
        <w:rPr>
          <w:rFonts w:ascii="Calibri" w:hAnsi="Calibri" w:cs="Calibri"/>
        </w:rPr>
        <w:t xml:space="preserve">hat the </w:t>
      </w:r>
      <w:r>
        <w:t>Academic Senate for California Community Colleges</w:t>
      </w:r>
      <w:r w:rsidRPr="00F26AE6">
        <w:rPr>
          <w:rFonts w:ascii="Calibri" w:hAnsi="Calibri" w:cs="Calibri"/>
        </w:rPr>
        <w:t xml:space="preserve"> advocate for and work with the California Community Colleges Chancellor’s Office</w:t>
      </w:r>
      <w:r>
        <w:rPr>
          <w:rFonts w:ascii="Calibri" w:hAnsi="Calibri" w:cs="Calibri"/>
        </w:rPr>
        <w:t xml:space="preserve"> to</w:t>
      </w:r>
      <w:r w:rsidRPr="00F26AE6">
        <w:rPr>
          <w:rFonts w:ascii="Calibri" w:hAnsi="Calibri" w:cs="Calibri"/>
        </w:rPr>
        <w:t xml:space="preserve"> lead a systemwide initiative to provide equitable access to vetted AI tools, training, and support for faculty, staff, and students in the </w:t>
      </w:r>
      <w:r w:rsidRPr="00F26AE6">
        <w:rPr>
          <w:lang w:val="en"/>
        </w:rPr>
        <w:t>California Community Colleges</w:t>
      </w:r>
      <w:r w:rsidRPr="00F26AE6">
        <w:rPr>
          <w:rFonts w:ascii="Calibri" w:hAnsi="Calibri" w:cs="Calibri"/>
        </w:rPr>
        <w:t xml:space="preserve"> system.</w:t>
      </w:r>
    </w:p>
    <w:p w14:paraId="6F4D4D47" w14:textId="77777777" w:rsidR="001A674C" w:rsidRPr="00BB2BE7" w:rsidRDefault="001A674C" w:rsidP="001A674C">
      <w:pPr>
        <w:spacing w:before="240"/>
        <w:rPr>
          <w:rFonts w:ascii="Calibri" w:hAnsi="Calibri" w:cs="Calibri"/>
        </w:rPr>
      </w:pPr>
      <w:r w:rsidRPr="00F26AE6">
        <w:rPr>
          <w:rFonts w:ascii="Calibri" w:hAnsi="Calibri" w:cs="Calibri"/>
        </w:rPr>
        <w:t>Contact: Kelly Rivera, Mt. San Antonio College, Area C</w:t>
      </w:r>
    </w:p>
    <w:p w14:paraId="1393E158" w14:textId="4D645518" w:rsidR="009D0CF4" w:rsidRDefault="001A674C" w:rsidP="00261562">
      <w:r>
        <w:t>MSF</w:t>
      </w:r>
    </w:p>
    <w:p w14:paraId="1AEC16D3" w14:textId="1D214819" w:rsidR="008102BC" w:rsidRDefault="008102BC" w:rsidP="00F46FD9">
      <w:pPr>
        <w:pStyle w:val="Heading1"/>
        <w:jc w:val="center"/>
      </w:pPr>
      <w:bookmarkStart w:id="130" w:name="_Toc197090201"/>
      <w:r>
        <w:t>REFERRED RESOLUTIONS AND AMENDMENTS</w:t>
      </w:r>
      <w:bookmarkEnd w:id="130"/>
    </w:p>
    <w:p w14:paraId="4855DDE8" w14:textId="20D79A69" w:rsidR="009D0CF4" w:rsidRPr="009D0CF4" w:rsidRDefault="007473C3" w:rsidP="00F46FD9">
      <w:pPr>
        <w:pStyle w:val="Heading2"/>
      </w:pPr>
      <w:bookmarkStart w:id="131" w:name="_Toc193947387"/>
      <w:bookmarkStart w:id="132" w:name="_Toc193890588"/>
      <w:bookmarkStart w:id="133" w:name="_Toc195691356"/>
      <w:bookmarkStart w:id="134" w:name="_Toc196496761"/>
      <w:bookmarkStart w:id="135" w:name="_Toc196500316"/>
      <w:bookmarkStart w:id="136" w:name="_Toc197090202"/>
      <w:r>
        <w:t xml:space="preserve">103.03 S25 </w:t>
      </w:r>
      <w:r w:rsidRPr="00F26AE6">
        <w:t>Ensuring Access and Equity: Removing Residency Barriers for Credit for Prior Learning (CPL)</w:t>
      </w:r>
      <w:bookmarkEnd w:id="131"/>
      <w:bookmarkEnd w:id="132"/>
      <w:bookmarkEnd w:id="133"/>
      <w:bookmarkEnd w:id="134"/>
      <w:bookmarkEnd w:id="135"/>
      <w:bookmarkEnd w:id="136"/>
    </w:p>
    <w:p w14:paraId="286385B3" w14:textId="77777777" w:rsidR="007473C3" w:rsidRPr="00F26AE6" w:rsidRDefault="007473C3" w:rsidP="007473C3">
      <w:r w:rsidRPr="00F26AE6">
        <w:rPr>
          <w:bCs/>
        </w:rPr>
        <w:t>Whereas</w:t>
      </w:r>
      <w:r w:rsidRPr="00F26AE6">
        <w:t xml:space="preserve">, </w:t>
      </w:r>
      <w:r>
        <w:t>T</w:t>
      </w:r>
      <w:r w:rsidRPr="00F26AE6">
        <w:t xml:space="preserve">he California </w:t>
      </w:r>
      <w:r>
        <w:t>c</w:t>
      </w:r>
      <w:r w:rsidRPr="00884BD5">
        <w:t xml:space="preserve">ommunity </w:t>
      </w:r>
      <w:r>
        <w:t>c</w:t>
      </w:r>
      <w:r w:rsidRPr="00F26AE6">
        <w:t>olleges recognize the value of prior learning and the importance of acknowledging the knowledge and skills students bring to their educational journey;</w:t>
      </w:r>
    </w:p>
    <w:p w14:paraId="0D0CF3E8" w14:textId="1E4C0958" w:rsidR="007473C3" w:rsidRPr="00F26AE6" w:rsidRDefault="007473C3" w:rsidP="007473C3">
      <w:pPr>
        <w:rPr>
          <w:bCs/>
        </w:rPr>
      </w:pPr>
      <w:r w:rsidRPr="00F26AE6">
        <w:rPr>
          <w:bCs/>
        </w:rPr>
        <w:t>Whereas</w:t>
      </w:r>
      <w:r w:rsidRPr="00F26AE6">
        <w:t xml:space="preserve">, Credit for </w:t>
      </w:r>
      <w:r w:rsidR="001F39EE">
        <w:t>p</w:t>
      </w:r>
      <w:r w:rsidRPr="00F26AE6">
        <w:t xml:space="preserve">rior </w:t>
      </w:r>
      <w:r w:rsidR="001F39EE">
        <w:t>l</w:t>
      </w:r>
      <w:r w:rsidRPr="00F26AE6">
        <w:t>earning provides students with the opportunity to receive academic credit for validated skills and knowledge gained outside of traditional coursework;</w:t>
      </w:r>
    </w:p>
    <w:p w14:paraId="44F5B085" w14:textId="77777777" w:rsidR="007473C3" w:rsidRPr="00F26AE6" w:rsidRDefault="007473C3" w:rsidP="007473C3">
      <w:r w:rsidRPr="00F26AE6">
        <w:rPr>
          <w:bCs/>
        </w:rPr>
        <w:t>Whereas</w:t>
      </w:r>
      <w:r w:rsidRPr="00F26AE6">
        <w:t xml:space="preserve">, </w:t>
      </w:r>
      <w:r>
        <w:t>T</w:t>
      </w:r>
      <w:r w:rsidRPr="00F26AE6">
        <w:t>he California Community Colleges Chancellor's Office Vision 2030</w:t>
      </w:r>
      <w:r>
        <w:rPr>
          <w:rStyle w:val="FootnoteReference"/>
        </w:rPr>
        <w:footnoteReference w:id="51"/>
      </w:r>
      <w:r w:rsidRPr="00F26AE6">
        <w:t xml:space="preserve"> emphasizes the importance of equity in access and success, including dismantling systemic barriers to education and expanding opportunities for all learners;</w:t>
      </w:r>
      <w:r>
        <w:t xml:space="preserve"> and </w:t>
      </w:r>
    </w:p>
    <w:p w14:paraId="2081C2B9" w14:textId="72C83E75" w:rsidR="007473C3" w:rsidRDefault="007473C3" w:rsidP="007473C3">
      <w:pPr>
        <w:rPr>
          <w:bCs/>
        </w:rPr>
      </w:pPr>
      <w:r w:rsidRPr="00372EA5">
        <w:rPr>
          <w:bCs/>
        </w:rPr>
        <w:lastRenderedPageBreak/>
        <w:t>Whereas, Residency requirements and minimum unit attainment should not obstruct the timely recognition and awarding of credit for prior learning so that students can benefit from their prior learning experiences beginning</w:t>
      </w:r>
      <w:r w:rsidR="001F39EE">
        <w:rPr>
          <w:bCs/>
        </w:rPr>
        <w:t xml:space="preserve"> with</w:t>
      </w:r>
      <w:r w:rsidRPr="00372EA5">
        <w:rPr>
          <w:bCs/>
        </w:rPr>
        <w:t xml:space="preserve"> their first semester of enrollment;</w:t>
      </w:r>
      <w:r>
        <w:rPr>
          <w:bCs/>
        </w:rPr>
        <w:t xml:space="preserve"> </w:t>
      </w:r>
    </w:p>
    <w:p w14:paraId="2D17F5F8" w14:textId="192B25A9" w:rsidR="007473C3" w:rsidRPr="00F26AE6" w:rsidRDefault="007473C3" w:rsidP="007473C3">
      <w:pPr>
        <w:rPr>
          <w:bCs/>
        </w:rPr>
      </w:pPr>
      <w:r w:rsidRPr="00A66579">
        <w:rPr>
          <w:rFonts w:ascii="Calibri" w:eastAsia="Times New Roman" w:hAnsi="Calibri" w:cs="Calibri"/>
          <w:color w:val="000000"/>
          <w:lang w:eastAsia="zh-TW"/>
        </w:rPr>
        <w:t>Resolved, That the Academic Senate for California Community Colleges recommend</w:t>
      </w:r>
      <w:r w:rsidR="001F39EE">
        <w:rPr>
          <w:rFonts w:ascii="Calibri" w:eastAsia="Times New Roman" w:hAnsi="Calibri" w:cs="Calibri"/>
          <w:color w:val="000000"/>
          <w:lang w:eastAsia="zh-TW"/>
        </w:rPr>
        <w:t xml:space="preserve"> that</w:t>
      </w:r>
      <w:r w:rsidRPr="00A66579">
        <w:rPr>
          <w:rFonts w:ascii="Calibri" w:eastAsia="Times New Roman" w:hAnsi="Calibri" w:cs="Calibri"/>
          <w:color w:val="000000"/>
          <w:lang w:eastAsia="zh-TW"/>
        </w:rPr>
        <w:t xml:space="preserve"> colleges eliminate barriers to awarding </w:t>
      </w:r>
      <w:r w:rsidR="001F39EE">
        <w:rPr>
          <w:rFonts w:ascii="Calibri" w:eastAsia="Times New Roman" w:hAnsi="Calibri" w:cs="Calibri"/>
          <w:color w:val="000000"/>
          <w:lang w:eastAsia="zh-TW"/>
        </w:rPr>
        <w:t>c</w:t>
      </w:r>
      <w:r w:rsidRPr="00A66579">
        <w:rPr>
          <w:rFonts w:ascii="Calibri" w:eastAsia="Times New Roman" w:hAnsi="Calibri" w:cs="Calibri"/>
          <w:color w:val="000000"/>
          <w:lang w:eastAsia="zh-TW"/>
        </w:rPr>
        <w:t xml:space="preserve">redit for </w:t>
      </w:r>
      <w:r w:rsidR="001F39EE">
        <w:rPr>
          <w:rFonts w:ascii="Calibri" w:eastAsia="Times New Roman" w:hAnsi="Calibri" w:cs="Calibri"/>
          <w:color w:val="000000"/>
          <w:lang w:eastAsia="zh-TW"/>
        </w:rPr>
        <w:t>p</w:t>
      </w:r>
      <w:r w:rsidRPr="00A66579">
        <w:rPr>
          <w:rFonts w:ascii="Calibri" w:eastAsia="Times New Roman" w:hAnsi="Calibri" w:cs="Calibri"/>
          <w:color w:val="000000"/>
          <w:lang w:eastAsia="zh-TW"/>
        </w:rPr>
        <w:t xml:space="preserve">rior </w:t>
      </w:r>
      <w:r w:rsidR="001F39EE">
        <w:rPr>
          <w:rFonts w:ascii="Calibri" w:eastAsia="Times New Roman" w:hAnsi="Calibri" w:cs="Calibri"/>
          <w:color w:val="000000"/>
          <w:lang w:eastAsia="zh-TW"/>
        </w:rPr>
        <w:t>l</w:t>
      </w:r>
      <w:r w:rsidRPr="00A66579">
        <w:rPr>
          <w:rFonts w:ascii="Calibri" w:eastAsia="Times New Roman" w:hAnsi="Calibri" w:cs="Calibri"/>
          <w:color w:val="000000"/>
          <w:lang w:eastAsia="zh-TW"/>
        </w:rPr>
        <w:t xml:space="preserve">earning (CPL) by removing </w:t>
      </w:r>
      <w:r w:rsidRPr="00734D35">
        <w:rPr>
          <w:rFonts w:ascii="Calibri" w:eastAsia="Times New Roman" w:hAnsi="Calibri" w:cs="Calibri"/>
          <w:color w:val="000000"/>
          <w:lang w:eastAsia="zh-TW"/>
        </w:rPr>
        <w:t>unit</w:t>
      </w:r>
      <w:r w:rsidRPr="00A66579">
        <w:rPr>
          <w:rFonts w:ascii="Calibri" w:eastAsia="Times New Roman" w:hAnsi="Calibri" w:cs="Calibri"/>
          <w:color w:val="000000"/>
          <w:lang w:eastAsia="zh-TW"/>
        </w:rPr>
        <w:t xml:space="preserve"> residency requirements to promote equitable access to CPL in alignment with the goals and principles of the California Community Colleges Chancellor’s Office Vision 2030</w:t>
      </w:r>
      <w:r w:rsidRPr="00F26AE6">
        <w:t>.</w:t>
      </w:r>
    </w:p>
    <w:p w14:paraId="0B43FEDE" w14:textId="77777777" w:rsidR="007473C3" w:rsidRDefault="007473C3" w:rsidP="007473C3">
      <w:r w:rsidRPr="00F26AE6">
        <w:t>Contact: Dr. Sigrid Williams, Norco College, Area D</w:t>
      </w:r>
    </w:p>
    <w:p w14:paraId="175E062E" w14:textId="0A4B71E2" w:rsidR="0087256C" w:rsidRDefault="008F0B2C" w:rsidP="00261562">
      <w:r>
        <w:t xml:space="preserve">MSR – Referred to the ASCCC Executive Committee </w:t>
      </w:r>
      <w:r w:rsidR="0087256C">
        <w:t xml:space="preserve">to </w:t>
      </w:r>
      <w:r w:rsidR="0087256C" w:rsidRPr="0087256C">
        <w:rPr>
          <w:b/>
          <w:bCs/>
        </w:rPr>
        <w:t>take action and report back</w:t>
      </w:r>
      <w:r w:rsidR="0087256C">
        <w:t xml:space="preserve"> at the Fall 2026 Plenary Session</w:t>
      </w:r>
    </w:p>
    <w:p w14:paraId="7C6757FC" w14:textId="77777777" w:rsidR="00F46FD9" w:rsidRDefault="00F46FD9">
      <w:pPr>
        <w:rPr>
          <w:rFonts w:eastAsiaTheme="majorEastAsia" w:cstheme="majorBidi"/>
          <w:b/>
          <w:sz w:val="28"/>
          <w:szCs w:val="32"/>
        </w:rPr>
      </w:pPr>
      <w:bookmarkStart w:id="137" w:name="_Toc152013051"/>
      <w:r>
        <w:br w:type="page"/>
      </w:r>
    </w:p>
    <w:p w14:paraId="0ADF372A" w14:textId="0B5CA660" w:rsidR="00E01AB3" w:rsidRDefault="00E01AB3" w:rsidP="00E01AB3">
      <w:pPr>
        <w:pStyle w:val="Heading1"/>
        <w:jc w:val="center"/>
      </w:pPr>
      <w:bookmarkStart w:id="138" w:name="_Toc197090203"/>
      <w:r>
        <w:lastRenderedPageBreak/>
        <w:t>DELEGATES</w:t>
      </w:r>
      <w:bookmarkEnd w:id="137"/>
      <w:bookmarkEnd w:id="138"/>
    </w:p>
    <w:p w14:paraId="6E7E6648" w14:textId="77777777" w:rsidR="00785FE7" w:rsidRPr="00785FE7" w:rsidRDefault="00785FE7" w:rsidP="002822B6"/>
    <w:tbl>
      <w:tblPr>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5"/>
        <w:gridCol w:w="2340"/>
        <w:gridCol w:w="2880"/>
      </w:tblGrid>
      <w:tr w:rsidR="00785FE7" w:rsidRPr="00C9137D" w14:paraId="0AECA8AD" w14:textId="77777777" w:rsidTr="002822B6">
        <w:trPr>
          <w:trHeight w:val="216"/>
          <w:tblHeader/>
        </w:trPr>
        <w:tc>
          <w:tcPr>
            <w:tcW w:w="3415" w:type="dxa"/>
            <w:shd w:val="clear" w:color="A5A5A5" w:fill="A5A5A5"/>
            <w:noWrap/>
            <w:vAlign w:val="bottom"/>
            <w:hideMark/>
          </w:tcPr>
          <w:p w14:paraId="7C999CCA" w14:textId="77777777" w:rsidR="00785FE7" w:rsidRPr="00C9137D" w:rsidRDefault="00785FE7" w:rsidP="00A40BAE">
            <w:pPr>
              <w:rPr>
                <w:rFonts w:ascii="Calibri" w:eastAsia="Times New Roman" w:hAnsi="Calibri" w:cs="Calibri"/>
                <w:b/>
                <w:bCs/>
                <w:color w:val="000000"/>
                <w:kern w:val="0"/>
                <w:szCs w:val="24"/>
                <w14:ligatures w14:val="none"/>
              </w:rPr>
            </w:pPr>
            <w:r w:rsidRPr="00C9137D">
              <w:rPr>
                <w:rFonts w:ascii="Calibri" w:eastAsia="Times New Roman" w:hAnsi="Calibri" w:cs="Calibri"/>
                <w:b/>
                <w:bCs/>
                <w:color w:val="000000"/>
                <w:kern w:val="0"/>
                <w:szCs w:val="24"/>
                <w14:ligatures w14:val="none"/>
              </w:rPr>
              <w:t>College</w:t>
            </w:r>
          </w:p>
        </w:tc>
        <w:tc>
          <w:tcPr>
            <w:tcW w:w="2340" w:type="dxa"/>
            <w:shd w:val="clear" w:color="A5A5A5" w:fill="A5A5A5"/>
            <w:noWrap/>
            <w:vAlign w:val="bottom"/>
            <w:hideMark/>
          </w:tcPr>
          <w:p w14:paraId="2C20E9F2" w14:textId="39A12AF9" w:rsidR="00785FE7" w:rsidRPr="00C9137D" w:rsidRDefault="00785FE7" w:rsidP="00A40BAE">
            <w:pPr>
              <w:rPr>
                <w:rFonts w:ascii="Calibri" w:eastAsia="Times New Roman" w:hAnsi="Calibri" w:cs="Calibri"/>
                <w:b/>
                <w:bCs/>
                <w:color w:val="000000"/>
                <w:kern w:val="0"/>
                <w:szCs w:val="24"/>
                <w14:ligatures w14:val="none"/>
              </w:rPr>
            </w:pPr>
            <w:r w:rsidRPr="00C9137D">
              <w:rPr>
                <w:rFonts w:ascii="Calibri" w:eastAsia="Times New Roman" w:hAnsi="Calibri" w:cs="Calibri"/>
                <w:b/>
                <w:bCs/>
                <w:color w:val="000000"/>
                <w:kern w:val="0"/>
                <w:szCs w:val="24"/>
                <w14:ligatures w14:val="none"/>
              </w:rPr>
              <w:t>First</w:t>
            </w:r>
            <w:r>
              <w:rPr>
                <w:rFonts w:ascii="Calibri" w:eastAsia="Times New Roman" w:hAnsi="Calibri" w:cs="Calibri"/>
                <w:b/>
                <w:bCs/>
                <w:color w:val="000000"/>
                <w:kern w:val="0"/>
                <w:szCs w:val="24"/>
                <w14:ligatures w14:val="none"/>
              </w:rPr>
              <w:t xml:space="preserve"> </w:t>
            </w:r>
            <w:r w:rsidRPr="00C9137D">
              <w:rPr>
                <w:rFonts w:ascii="Calibri" w:eastAsia="Times New Roman" w:hAnsi="Calibri" w:cs="Calibri"/>
                <w:b/>
                <w:bCs/>
                <w:color w:val="000000"/>
                <w:kern w:val="0"/>
                <w:szCs w:val="24"/>
                <w14:ligatures w14:val="none"/>
              </w:rPr>
              <w:t>Name</w:t>
            </w:r>
          </w:p>
        </w:tc>
        <w:tc>
          <w:tcPr>
            <w:tcW w:w="2880" w:type="dxa"/>
            <w:shd w:val="clear" w:color="A5A5A5" w:fill="A5A5A5"/>
            <w:noWrap/>
            <w:vAlign w:val="bottom"/>
            <w:hideMark/>
          </w:tcPr>
          <w:p w14:paraId="05BBA66F" w14:textId="5DC5A93D" w:rsidR="00785FE7" w:rsidRPr="00C9137D" w:rsidRDefault="00785FE7" w:rsidP="00A40BAE">
            <w:pPr>
              <w:rPr>
                <w:rFonts w:ascii="Calibri" w:eastAsia="Times New Roman" w:hAnsi="Calibri" w:cs="Calibri"/>
                <w:b/>
                <w:bCs/>
                <w:color w:val="000000"/>
                <w:kern w:val="0"/>
                <w:szCs w:val="24"/>
                <w14:ligatures w14:val="none"/>
              </w:rPr>
            </w:pPr>
            <w:r w:rsidRPr="00C9137D">
              <w:rPr>
                <w:rFonts w:ascii="Calibri" w:eastAsia="Times New Roman" w:hAnsi="Calibri" w:cs="Calibri"/>
                <w:b/>
                <w:bCs/>
                <w:color w:val="000000"/>
                <w:kern w:val="0"/>
                <w:szCs w:val="24"/>
                <w14:ligatures w14:val="none"/>
              </w:rPr>
              <w:t>Last</w:t>
            </w:r>
            <w:r>
              <w:rPr>
                <w:rFonts w:ascii="Calibri" w:eastAsia="Times New Roman" w:hAnsi="Calibri" w:cs="Calibri"/>
                <w:b/>
                <w:bCs/>
                <w:color w:val="000000"/>
                <w:kern w:val="0"/>
                <w:szCs w:val="24"/>
                <w14:ligatures w14:val="none"/>
              </w:rPr>
              <w:t xml:space="preserve"> </w:t>
            </w:r>
            <w:r w:rsidRPr="00C9137D">
              <w:rPr>
                <w:rFonts w:ascii="Calibri" w:eastAsia="Times New Roman" w:hAnsi="Calibri" w:cs="Calibri"/>
                <w:b/>
                <w:bCs/>
                <w:color w:val="000000"/>
                <w:kern w:val="0"/>
                <w:szCs w:val="24"/>
                <w14:ligatures w14:val="none"/>
              </w:rPr>
              <w:t>Name</w:t>
            </w:r>
          </w:p>
        </w:tc>
      </w:tr>
      <w:tr w:rsidR="00E1393C" w:rsidRPr="00F1381F" w14:paraId="4019328A"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367FA757" w14:textId="77777777" w:rsidR="00E1393C" w:rsidRPr="00F1381F" w:rsidRDefault="00E1393C" w:rsidP="00E1393C">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Alameda, College of</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5A43744B" w14:textId="2FEBC92F" w:rsidR="00E1393C" w:rsidRPr="00F1381F" w:rsidRDefault="00E1393C" w:rsidP="00E1393C">
            <w:pPr>
              <w:rPr>
                <w:rFonts w:ascii="Calibri" w:eastAsia="Times New Roman" w:hAnsi="Calibri" w:cs="Calibri"/>
                <w:kern w:val="0"/>
                <w:szCs w:val="24"/>
                <w14:ligatures w14:val="none"/>
              </w:rPr>
            </w:pPr>
            <w:r>
              <w:rPr>
                <w:color w:val="000000"/>
                <w:sz w:val="22"/>
              </w:rPr>
              <w:t>Cynthia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68D14A38" w14:textId="0D2CA5B0" w:rsidR="00E1393C" w:rsidRPr="00F1381F" w:rsidRDefault="00E1393C" w:rsidP="00E1393C">
            <w:pPr>
              <w:rPr>
                <w:rFonts w:ascii="Calibri" w:eastAsia="Times New Roman" w:hAnsi="Calibri" w:cs="Calibri"/>
                <w:kern w:val="0"/>
                <w:szCs w:val="24"/>
                <w14:ligatures w14:val="none"/>
              </w:rPr>
            </w:pPr>
            <w:r>
              <w:rPr>
                <w:color w:val="000000"/>
                <w:sz w:val="22"/>
              </w:rPr>
              <w:t xml:space="preserve">Haro </w:t>
            </w:r>
          </w:p>
        </w:tc>
      </w:tr>
      <w:tr w:rsidR="00E1393C" w:rsidRPr="00F1381F" w14:paraId="6E189B78"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21B4BD10" w14:textId="77777777" w:rsidR="00E1393C" w:rsidRPr="00F1381F" w:rsidRDefault="00E1393C" w:rsidP="00E1393C">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Allan Hancock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2DC5DBFD" w14:textId="2D7AEE21" w:rsidR="00E1393C" w:rsidRPr="00F1381F" w:rsidRDefault="00E1393C" w:rsidP="00E1393C">
            <w:pPr>
              <w:rPr>
                <w:rFonts w:ascii="Calibri" w:eastAsia="Times New Roman" w:hAnsi="Calibri" w:cs="Calibri"/>
                <w:kern w:val="0"/>
                <w:szCs w:val="24"/>
                <w14:ligatures w14:val="none"/>
              </w:rPr>
            </w:pPr>
            <w:r>
              <w:rPr>
                <w:color w:val="000000"/>
                <w:sz w:val="22"/>
              </w:rPr>
              <w:t>Alberto</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1A955633" w14:textId="1D98B858" w:rsidR="00E1393C" w:rsidRPr="00F1381F" w:rsidRDefault="00E1393C" w:rsidP="00E1393C">
            <w:pPr>
              <w:rPr>
                <w:rFonts w:ascii="Calibri" w:eastAsia="Times New Roman" w:hAnsi="Calibri" w:cs="Calibri"/>
                <w:kern w:val="0"/>
                <w:szCs w:val="24"/>
                <w14:ligatures w14:val="none"/>
              </w:rPr>
            </w:pPr>
            <w:r>
              <w:rPr>
                <w:color w:val="000000"/>
                <w:sz w:val="22"/>
              </w:rPr>
              <w:t>Restrepo</w:t>
            </w:r>
          </w:p>
        </w:tc>
      </w:tr>
      <w:tr w:rsidR="00E1393C" w:rsidRPr="00F1381F" w14:paraId="11850058"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41114C98" w14:textId="77777777" w:rsidR="00E1393C" w:rsidRPr="00F1381F" w:rsidRDefault="00E1393C" w:rsidP="00E1393C">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American River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4FB442C0" w14:textId="14E2DD72" w:rsidR="00E1393C" w:rsidRPr="00F1381F" w:rsidRDefault="00E1393C" w:rsidP="00E1393C">
            <w:pPr>
              <w:rPr>
                <w:rFonts w:ascii="Calibri" w:eastAsia="Times New Roman" w:hAnsi="Calibri" w:cs="Calibri"/>
                <w:kern w:val="0"/>
                <w:szCs w:val="24"/>
                <w14:ligatures w14:val="none"/>
              </w:rPr>
            </w:pPr>
            <w:r>
              <w:rPr>
                <w:color w:val="000000"/>
                <w:sz w:val="22"/>
              </w:rPr>
              <w:t>Brian</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5171B04B" w14:textId="269D2DA4" w:rsidR="00E1393C" w:rsidRPr="00F1381F" w:rsidRDefault="00E1393C" w:rsidP="00E1393C">
            <w:pPr>
              <w:rPr>
                <w:rFonts w:ascii="Calibri" w:eastAsia="Times New Roman" w:hAnsi="Calibri" w:cs="Calibri"/>
                <w:kern w:val="0"/>
                <w:szCs w:val="24"/>
                <w14:ligatures w14:val="none"/>
              </w:rPr>
            </w:pPr>
            <w:proofErr w:type="spellStart"/>
            <w:r>
              <w:rPr>
                <w:color w:val="000000"/>
                <w:sz w:val="22"/>
              </w:rPr>
              <w:t>Knirk</w:t>
            </w:r>
            <w:proofErr w:type="spellEnd"/>
          </w:p>
        </w:tc>
      </w:tr>
      <w:tr w:rsidR="00E1393C" w:rsidRPr="00F1381F" w14:paraId="1CFD3A74"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366AF44E" w14:textId="77777777" w:rsidR="00E1393C" w:rsidRPr="00F1381F" w:rsidRDefault="00E1393C" w:rsidP="00E1393C">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Antelope Valley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402B20FD" w14:textId="7137AE90" w:rsidR="00E1393C" w:rsidRPr="00F1381F" w:rsidRDefault="00E1393C" w:rsidP="00E1393C">
            <w:pPr>
              <w:rPr>
                <w:rFonts w:ascii="Calibri" w:eastAsia="Times New Roman" w:hAnsi="Calibri" w:cs="Calibri"/>
                <w:kern w:val="0"/>
                <w:szCs w:val="24"/>
                <w14:ligatures w14:val="none"/>
              </w:rPr>
            </w:pPr>
            <w:r>
              <w:rPr>
                <w:color w:val="000000"/>
                <w:sz w:val="22"/>
              </w:rPr>
              <w:t>Hal</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519D5CC8" w14:textId="685D9826" w:rsidR="00E1393C" w:rsidRPr="00F1381F" w:rsidRDefault="00E1393C" w:rsidP="00E1393C">
            <w:pPr>
              <w:rPr>
                <w:rFonts w:ascii="Calibri" w:eastAsia="Times New Roman" w:hAnsi="Calibri" w:cs="Calibri"/>
                <w:kern w:val="0"/>
                <w:szCs w:val="24"/>
                <w14:ligatures w14:val="none"/>
              </w:rPr>
            </w:pPr>
            <w:r>
              <w:rPr>
                <w:color w:val="000000"/>
                <w:sz w:val="22"/>
              </w:rPr>
              <w:t>Huntsman</w:t>
            </w:r>
          </w:p>
        </w:tc>
      </w:tr>
      <w:tr w:rsidR="00E1393C" w:rsidRPr="00F1381F" w14:paraId="40ABFF75"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39B826CB" w14:textId="77777777" w:rsidR="00E1393C" w:rsidRPr="00F1381F" w:rsidRDefault="00E1393C" w:rsidP="00E1393C">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Bakersfield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68B50B7E" w14:textId="28D5DBD9" w:rsidR="00E1393C" w:rsidRPr="00F1381F" w:rsidRDefault="00E1393C" w:rsidP="00E1393C">
            <w:pPr>
              <w:rPr>
                <w:rFonts w:ascii="Calibri" w:eastAsia="Times New Roman" w:hAnsi="Calibri" w:cs="Calibri"/>
                <w:kern w:val="0"/>
                <w:szCs w:val="24"/>
                <w14:ligatures w14:val="none"/>
              </w:rPr>
            </w:pPr>
            <w:r>
              <w:rPr>
                <w:color w:val="000000"/>
                <w:sz w:val="22"/>
              </w:rPr>
              <w:t>Lisa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0486C123" w14:textId="0C87242C" w:rsidR="00E1393C" w:rsidRPr="00F1381F" w:rsidRDefault="00E1393C" w:rsidP="00E1393C">
            <w:pPr>
              <w:rPr>
                <w:rFonts w:ascii="Calibri" w:eastAsia="Times New Roman" w:hAnsi="Calibri" w:cs="Calibri"/>
                <w:kern w:val="0"/>
                <w:szCs w:val="24"/>
                <w14:ligatures w14:val="none"/>
              </w:rPr>
            </w:pPr>
            <w:r>
              <w:rPr>
                <w:color w:val="000000"/>
                <w:sz w:val="22"/>
              </w:rPr>
              <w:t>Harding</w:t>
            </w:r>
          </w:p>
        </w:tc>
      </w:tr>
      <w:tr w:rsidR="00E1393C" w:rsidRPr="00F1381F" w14:paraId="4D98C15D"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2173F7A2" w14:textId="77777777" w:rsidR="00E1393C" w:rsidRPr="00F1381F" w:rsidRDefault="00E1393C" w:rsidP="00E1393C">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Barstow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78EFCA4E" w14:textId="44AD3227" w:rsidR="00E1393C" w:rsidRPr="00F1381F" w:rsidRDefault="00E1393C" w:rsidP="00E1393C">
            <w:pPr>
              <w:rPr>
                <w:rFonts w:ascii="Calibri" w:eastAsia="Times New Roman" w:hAnsi="Calibri" w:cs="Calibri"/>
                <w:kern w:val="0"/>
                <w:szCs w:val="24"/>
                <w14:ligatures w14:val="none"/>
              </w:rPr>
            </w:pPr>
            <w:r>
              <w:rPr>
                <w:color w:val="000000"/>
                <w:sz w:val="22"/>
              </w:rPr>
              <w:t>Melissa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223104FA" w14:textId="4FE4E1FE" w:rsidR="00E1393C" w:rsidRPr="00F1381F" w:rsidRDefault="00E1393C" w:rsidP="00E1393C">
            <w:pPr>
              <w:rPr>
                <w:rFonts w:ascii="Calibri" w:eastAsia="Times New Roman" w:hAnsi="Calibri" w:cs="Calibri"/>
                <w:kern w:val="0"/>
                <w:szCs w:val="24"/>
                <w14:ligatures w14:val="none"/>
              </w:rPr>
            </w:pPr>
            <w:r>
              <w:rPr>
                <w:color w:val="000000"/>
                <w:sz w:val="22"/>
              </w:rPr>
              <w:t>Matteson</w:t>
            </w:r>
          </w:p>
        </w:tc>
      </w:tr>
      <w:tr w:rsidR="00E1393C" w:rsidRPr="00F1381F" w14:paraId="0F2AB74F"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783EDEC1" w14:textId="77777777" w:rsidR="00E1393C" w:rsidRPr="00F1381F" w:rsidRDefault="00E1393C" w:rsidP="00E1393C">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Berkeley City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1EF48761" w14:textId="1F2674D2" w:rsidR="00E1393C" w:rsidRPr="00F1381F" w:rsidRDefault="00E1393C" w:rsidP="00E1393C">
            <w:pPr>
              <w:rPr>
                <w:rFonts w:ascii="Calibri" w:eastAsia="Times New Roman" w:hAnsi="Calibri" w:cs="Calibri"/>
                <w:kern w:val="0"/>
                <w:szCs w:val="24"/>
                <w14:ligatures w14:val="none"/>
              </w:rPr>
            </w:pPr>
            <w:r>
              <w:rPr>
                <w:color w:val="000000"/>
                <w:sz w:val="22"/>
              </w:rPr>
              <w:t xml:space="preserve">Matthew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25FA520E" w14:textId="714117C6" w:rsidR="00E1393C" w:rsidRPr="00F1381F" w:rsidRDefault="00E1393C" w:rsidP="00E1393C">
            <w:pPr>
              <w:rPr>
                <w:rFonts w:ascii="Calibri" w:eastAsia="Times New Roman" w:hAnsi="Calibri" w:cs="Calibri"/>
                <w:kern w:val="0"/>
                <w:szCs w:val="24"/>
                <w14:ligatures w14:val="none"/>
              </w:rPr>
            </w:pPr>
            <w:r>
              <w:rPr>
                <w:color w:val="000000"/>
                <w:sz w:val="22"/>
              </w:rPr>
              <w:t>Freeman</w:t>
            </w:r>
          </w:p>
        </w:tc>
      </w:tr>
      <w:tr w:rsidR="00E1393C" w:rsidRPr="00F1381F" w14:paraId="0F428E42"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74C70B77" w14:textId="77777777" w:rsidR="00E1393C" w:rsidRPr="00F1381F" w:rsidRDefault="00E1393C" w:rsidP="00E1393C">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Butte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130FD629" w14:textId="6E7EBFB8" w:rsidR="00E1393C" w:rsidRPr="00F1381F" w:rsidRDefault="00E1393C" w:rsidP="00E1393C">
            <w:pPr>
              <w:rPr>
                <w:rFonts w:ascii="Calibri" w:eastAsia="Times New Roman" w:hAnsi="Calibri" w:cs="Calibri"/>
                <w:kern w:val="0"/>
                <w:szCs w:val="24"/>
                <w14:ligatures w14:val="none"/>
              </w:rPr>
            </w:pPr>
            <w:r>
              <w:rPr>
                <w:color w:val="000000"/>
                <w:sz w:val="22"/>
              </w:rPr>
              <w:t>Jess</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6197952B" w14:textId="5261B07C" w:rsidR="00E1393C" w:rsidRPr="00F1381F" w:rsidRDefault="00E1393C" w:rsidP="00E1393C">
            <w:pPr>
              <w:rPr>
                <w:rFonts w:ascii="Calibri" w:eastAsia="Times New Roman" w:hAnsi="Calibri" w:cs="Calibri"/>
                <w:kern w:val="0"/>
                <w:szCs w:val="24"/>
                <w14:ligatures w14:val="none"/>
              </w:rPr>
            </w:pPr>
            <w:r>
              <w:rPr>
                <w:color w:val="000000"/>
                <w:sz w:val="22"/>
              </w:rPr>
              <w:t>Vickery</w:t>
            </w:r>
          </w:p>
        </w:tc>
      </w:tr>
      <w:tr w:rsidR="00E1393C" w:rsidRPr="00F1381F" w14:paraId="564DC073"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07582238" w14:textId="77777777" w:rsidR="00E1393C" w:rsidRPr="00F1381F" w:rsidRDefault="00E1393C" w:rsidP="00E1393C">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Cabrillo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5B256036" w14:textId="3ED00DC8" w:rsidR="00E1393C" w:rsidRPr="00F1381F" w:rsidRDefault="00E1393C" w:rsidP="00E1393C">
            <w:pPr>
              <w:rPr>
                <w:rFonts w:ascii="Calibri" w:eastAsia="Times New Roman" w:hAnsi="Calibri" w:cs="Calibri"/>
                <w:kern w:val="0"/>
                <w:szCs w:val="24"/>
                <w14:ligatures w14:val="none"/>
              </w:rPr>
            </w:pPr>
            <w:r>
              <w:rPr>
                <w:color w:val="000000"/>
                <w:sz w:val="22"/>
              </w:rPr>
              <w:t xml:space="preserve">Victoria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43E8D55A" w14:textId="732C348A" w:rsidR="00E1393C" w:rsidRPr="00F1381F" w:rsidRDefault="00E1393C" w:rsidP="00E1393C">
            <w:pPr>
              <w:rPr>
                <w:rFonts w:ascii="Calibri" w:eastAsia="Times New Roman" w:hAnsi="Calibri" w:cs="Calibri"/>
                <w:kern w:val="0"/>
                <w:szCs w:val="24"/>
                <w14:ligatures w14:val="none"/>
              </w:rPr>
            </w:pPr>
            <w:r>
              <w:rPr>
                <w:color w:val="000000"/>
                <w:sz w:val="22"/>
              </w:rPr>
              <w:t xml:space="preserve">Banales </w:t>
            </w:r>
          </w:p>
        </w:tc>
      </w:tr>
      <w:tr w:rsidR="00E1393C" w:rsidRPr="00F1381F" w14:paraId="7D036174"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7FDCE50C" w14:textId="77777777" w:rsidR="00E1393C" w:rsidRPr="00F1381F" w:rsidRDefault="00E1393C" w:rsidP="00E1393C">
            <w:pPr>
              <w:rPr>
                <w:rFonts w:ascii="Calibri" w:eastAsia="Times New Roman" w:hAnsi="Calibri" w:cs="Calibri"/>
                <w:kern w:val="0"/>
                <w:szCs w:val="24"/>
                <w14:ligatures w14:val="none"/>
              </w:rPr>
            </w:pPr>
            <w:proofErr w:type="spellStart"/>
            <w:r w:rsidRPr="00F1381F">
              <w:rPr>
                <w:rFonts w:ascii="Calibri" w:eastAsia="Times New Roman" w:hAnsi="Calibri" w:cs="Calibri"/>
                <w:kern w:val="0"/>
                <w:szCs w:val="24"/>
                <w14:ligatures w14:val="none"/>
              </w:rPr>
              <w:t>Calbright</w:t>
            </w:r>
            <w:proofErr w:type="spellEnd"/>
            <w:r w:rsidRPr="00F1381F">
              <w:rPr>
                <w:rFonts w:ascii="Calibri" w:eastAsia="Times New Roman" w:hAnsi="Calibri" w:cs="Calibri"/>
                <w:kern w:val="0"/>
                <w:szCs w:val="24"/>
                <w14:ligatures w14:val="none"/>
              </w:rPr>
              <w:t xml:space="preserve">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584C056E" w14:textId="4F0F83EC" w:rsidR="00E1393C" w:rsidRPr="00F1381F" w:rsidRDefault="00E1393C" w:rsidP="00E1393C">
            <w:pPr>
              <w:rPr>
                <w:rFonts w:ascii="Calibri" w:eastAsia="Times New Roman" w:hAnsi="Calibri" w:cs="Calibri"/>
                <w:kern w:val="0"/>
                <w:szCs w:val="24"/>
                <w14:ligatures w14:val="none"/>
              </w:rPr>
            </w:pPr>
            <w:r>
              <w:rPr>
                <w:sz w:val="20"/>
                <w:szCs w:val="20"/>
              </w:rPr>
              <w:t>Michael</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77792167" w14:textId="6784E846" w:rsidR="00E1393C" w:rsidRPr="00F1381F" w:rsidRDefault="00E1393C" w:rsidP="00E1393C">
            <w:pPr>
              <w:rPr>
                <w:rFonts w:ascii="Calibri" w:eastAsia="Times New Roman" w:hAnsi="Calibri" w:cs="Calibri"/>
                <w:kern w:val="0"/>
                <w:szCs w:val="24"/>
                <w14:ligatures w14:val="none"/>
              </w:rPr>
            </w:pPr>
            <w:r>
              <w:rPr>
                <w:sz w:val="20"/>
                <w:szCs w:val="20"/>
              </w:rPr>
              <w:t>Stewart</w:t>
            </w:r>
          </w:p>
        </w:tc>
      </w:tr>
      <w:tr w:rsidR="00E1393C" w:rsidRPr="00F1381F" w14:paraId="7575A5F8"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05BE94DB" w14:textId="77777777" w:rsidR="00E1393C" w:rsidRPr="00F1381F" w:rsidRDefault="00E1393C" w:rsidP="00E1393C">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Canada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7B6156D1" w14:textId="6B70C575" w:rsidR="00E1393C" w:rsidRPr="00F1381F" w:rsidRDefault="00E1393C" w:rsidP="00E1393C">
            <w:pPr>
              <w:rPr>
                <w:rFonts w:ascii="Calibri" w:eastAsia="Times New Roman" w:hAnsi="Calibri" w:cs="Calibri"/>
                <w:kern w:val="0"/>
                <w:szCs w:val="24"/>
                <w14:ligatures w14:val="none"/>
              </w:rPr>
            </w:pPr>
            <w:proofErr w:type="spellStart"/>
            <w:r>
              <w:rPr>
                <w:color w:val="000000"/>
                <w:sz w:val="22"/>
              </w:rPr>
              <w:t>Gampi</w:t>
            </w:r>
            <w:proofErr w:type="spellEnd"/>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604C9825" w14:textId="10CABBC9" w:rsidR="00E1393C" w:rsidRPr="00F1381F" w:rsidRDefault="00E1393C" w:rsidP="00E1393C">
            <w:pPr>
              <w:rPr>
                <w:rFonts w:ascii="Calibri" w:eastAsia="Times New Roman" w:hAnsi="Calibri" w:cs="Calibri"/>
                <w:kern w:val="0"/>
                <w:szCs w:val="24"/>
                <w14:ligatures w14:val="none"/>
              </w:rPr>
            </w:pPr>
            <w:r>
              <w:rPr>
                <w:color w:val="000000"/>
                <w:sz w:val="22"/>
              </w:rPr>
              <w:t>Shankar</w:t>
            </w:r>
          </w:p>
        </w:tc>
      </w:tr>
      <w:tr w:rsidR="00E1393C" w:rsidRPr="00F1381F" w14:paraId="42101910"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3D6D15D4" w14:textId="77777777" w:rsidR="00E1393C" w:rsidRPr="00F1381F" w:rsidRDefault="00E1393C" w:rsidP="00E1393C">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Canyons, College of</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1CEB2DE0" w14:textId="378B7A7D" w:rsidR="00E1393C" w:rsidRPr="00F1381F" w:rsidRDefault="00E1393C" w:rsidP="00E1393C">
            <w:pPr>
              <w:rPr>
                <w:rFonts w:ascii="Calibri" w:eastAsia="Times New Roman" w:hAnsi="Calibri" w:cs="Calibri"/>
                <w:kern w:val="0"/>
                <w:szCs w:val="24"/>
                <w14:ligatures w14:val="none"/>
              </w:rPr>
            </w:pPr>
            <w:r>
              <w:rPr>
                <w:color w:val="000000"/>
                <w:sz w:val="22"/>
              </w:rPr>
              <w:t xml:space="preserve">Lisa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054BA546" w14:textId="3E2BD77D" w:rsidR="00E1393C" w:rsidRPr="00F1381F" w:rsidRDefault="00E1393C" w:rsidP="00E1393C">
            <w:pPr>
              <w:rPr>
                <w:rFonts w:ascii="Calibri" w:eastAsia="Times New Roman" w:hAnsi="Calibri" w:cs="Calibri"/>
                <w:kern w:val="0"/>
                <w:szCs w:val="24"/>
                <w14:ligatures w14:val="none"/>
              </w:rPr>
            </w:pPr>
            <w:r>
              <w:rPr>
                <w:color w:val="000000"/>
                <w:sz w:val="22"/>
              </w:rPr>
              <w:t xml:space="preserve">Hooper </w:t>
            </w:r>
          </w:p>
        </w:tc>
      </w:tr>
      <w:tr w:rsidR="00E1393C" w:rsidRPr="00F1381F" w14:paraId="7003EF6E"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7E9E6236" w14:textId="77777777" w:rsidR="00E1393C" w:rsidRPr="00F1381F" w:rsidRDefault="00E1393C" w:rsidP="00E1393C">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Cerritos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1D2AA4EF" w14:textId="3A2277F6" w:rsidR="00E1393C" w:rsidRPr="00F1381F" w:rsidRDefault="00E1393C" w:rsidP="00E1393C">
            <w:pPr>
              <w:rPr>
                <w:rFonts w:ascii="Calibri" w:eastAsia="Times New Roman" w:hAnsi="Calibri" w:cs="Calibri"/>
                <w:kern w:val="0"/>
                <w:szCs w:val="24"/>
                <w14:ligatures w14:val="none"/>
              </w:rPr>
            </w:pPr>
            <w:r>
              <w:rPr>
                <w:color w:val="000000"/>
                <w:sz w:val="22"/>
              </w:rPr>
              <w:t>Yvonne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08062D49" w14:textId="3BE57C30" w:rsidR="00E1393C" w:rsidRPr="00F1381F" w:rsidRDefault="00E1393C" w:rsidP="00E1393C">
            <w:pPr>
              <w:rPr>
                <w:rFonts w:ascii="Calibri" w:eastAsia="Times New Roman" w:hAnsi="Calibri" w:cs="Calibri"/>
                <w:kern w:val="0"/>
                <w:szCs w:val="24"/>
                <w14:ligatures w14:val="none"/>
              </w:rPr>
            </w:pPr>
            <w:r>
              <w:rPr>
                <w:color w:val="000000"/>
                <w:sz w:val="22"/>
              </w:rPr>
              <w:t>Mills</w:t>
            </w:r>
          </w:p>
        </w:tc>
      </w:tr>
      <w:tr w:rsidR="00E1393C" w:rsidRPr="00F1381F" w14:paraId="744E97FC"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62054BB7" w14:textId="77777777" w:rsidR="00E1393C" w:rsidRPr="00F1381F" w:rsidRDefault="00E1393C" w:rsidP="00E1393C">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Cerro Coso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003695F5" w14:textId="60CD66B5" w:rsidR="00E1393C" w:rsidRPr="00F1381F" w:rsidRDefault="00E1393C" w:rsidP="00E1393C">
            <w:pPr>
              <w:rPr>
                <w:rFonts w:ascii="Calibri" w:eastAsia="Times New Roman" w:hAnsi="Calibri" w:cs="Calibri"/>
                <w:kern w:val="0"/>
                <w:szCs w:val="24"/>
                <w14:ligatures w14:val="none"/>
              </w:rPr>
            </w:pPr>
            <w:r>
              <w:rPr>
                <w:color w:val="000000"/>
                <w:sz w:val="22"/>
              </w:rPr>
              <w:t>Mona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49238FC0" w14:textId="29E404DB" w:rsidR="00E1393C" w:rsidRPr="00F1381F" w:rsidRDefault="00E1393C" w:rsidP="00E1393C">
            <w:pPr>
              <w:rPr>
                <w:rFonts w:ascii="Calibri" w:eastAsia="Times New Roman" w:hAnsi="Calibri" w:cs="Calibri"/>
                <w:kern w:val="0"/>
                <w:szCs w:val="24"/>
                <w14:ligatures w14:val="none"/>
              </w:rPr>
            </w:pPr>
            <w:r>
              <w:rPr>
                <w:color w:val="000000"/>
                <w:sz w:val="22"/>
              </w:rPr>
              <w:t>Abdoun</w:t>
            </w:r>
          </w:p>
        </w:tc>
      </w:tr>
      <w:tr w:rsidR="00E1393C" w:rsidRPr="00F1381F" w14:paraId="2ADA4A42"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0629819B" w14:textId="77777777" w:rsidR="00E1393C" w:rsidRPr="00F1381F" w:rsidRDefault="00E1393C" w:rsidP="00E1393C">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Chaffey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015DCFE2" w14:textId="7481523B" w:rsidR="00E1393C" w:rsidRPr="00F1381F" w:rsidRDefault="00E1393C" w:rsidP="00E1393C">
            <w:pPr>
              <w:rPr>
                <w:rFonts w:ascii="Calibri" w:eastAsia="Times New Roman" w:hAnsi="Calibri" w:cs="Calibri"/>
                <w:kern w:val="0"/>
                <w:szCs w:val="24"/>
                <w14:ligatures w14:val="none"/>
              </w:rPr>
            </w:pPr>
            <w:r>
              <w:rPr>
                <w:color w:val="000000"/>
                <w:sz w:val="22"/>
              </w:rPr>
              <w:t>Nicole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06FCC9E7" w14:textId="4EC75658" w:rsidR="00E1393C" w:rsidRPr="00F1381F" w:rsidRDefault="00E1393C" w:rsidP="00E1393C">
            <w:pPr>
              <w:rPr>
                <w:rFonts w:ascii="Calibri" w:eastAsia="Times New Roman" w:hAnsi="Calibri" w:cs="Calibri"/>
                <w:kern w:val="0"/>
                <w:szCs w:val="24"/>
                <w14:ligatures w14:val="none"/>
              </w:rPr>
            </w:pPr>
            <w:r>
              <w:rPr>
                <w:color w:val="000000"/>
                <w:sz w:val="22"/>
              </w:rPr>
              <w:t>DeRose</w:t>
            </w:r>
          </w:p>
        </w:tc>
      </w:tr>
      <w:tr w:rsidR="00E1393C" w:rsidRPr="00F1381F" w14:paraId="74F14776"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135F92D2" w14:textId="77777777" w:rsidR="00E1393C" w:rsidRPr="00F1381F" w:rsidRDefault="00E1393C" w:rsidP="00E1393C">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Citrus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54902D09" w14:textId="00733C50" w:rsidR="00E1393C" w:rsidRPr="00F1381F" w:rsidRDefault="00E1393C" w:rsidP="00E1393C">
            <w:pPr>
              <w:rPr>
                <w:rFonts w:ascii="Calibri" w:eastAsia="Times New Roman" w:hAnsi="Calibri" w:cs="Calibri"/>
                <w:kern w:val="0"/>
                <w:szCs w:val="24"/>
                <w14:ligatures w14:val="none"/>
              </w:rPr>
            </w:pPr>
            <w:r>
              <w:rPr>
                <w:color w:val="000000"/>
                <w:sz w:val="22"/>
              </w:rPr>
              <w:t xml:space="preserve">Lisa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3A1C90F1" w14:textId="511ED35D" w:rsidR="00E1393C" w:rsidRPr="00F1381F" w:rsidRDefault="00E1393C" w:rsidP="00E1393C">
            <w:pPr>
              <w:rPr>
                <w:rFonts w:ascii="Calibri" w:eastAsia="Times New Roman" w:hAnsi="Calibri" w:cs="Calibri"/>
                <w:kern w:val="0"/>
                <w:szCs w:val="24"/>
                <w14:ligatures w14:val="none"/>
              </w:rPr>
            </w:pPr>
            <w:r>
              <w:rPr>
                <w:color w:val="000000"/>
                <w:sz w:val="22"/>
              </w:rPr>
              <w:t xml:space="preserve">Villa </w:t>
            </w:r>
          </w:p>
        </w:tc>
      </w:tr>
      <w:tr w:rsidR="00E1393C" w:rsidRPr="00F1381F" w14:paraId="207014C0"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674F78DE" w14:textId="77777777" w:rsidR="00E1393C" w:rsidRPr="00F1381F" w:rsidRDefault="00E1393C" w:rsidP="00E1393C">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Clovis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6EDCD85A" w14:textId="72D20C59" w:rsidR="00E1393C" w:rsidRPr="00F1381F" w:rsidRDefault="00E1393C" w:rsidP="00E1393C">
            <w:pPr>
              <w:rPr>
                <w:rFonts w:ascii="Calibri" w:eastAsia="Times New Roman" w:hAnsi="Calibri" w:cs="Calibri"/>
                <w:kern w:val="0"/>
                <w:szCs w:val="24"/>
                <w14:ligatures w14:val="none"/>
              </w:rPr>
            </w:pP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2964F0A1" w14:textId="190513B7" w:rsidR="00E1393C" w:rsidRPr="00F1381F" w:rsidRDefault="00E1393C" w:rsidP="00E1393C">
            <w:pPr>
              <w:rPr>
                <w:rFonts w:ascii="Calibri" w:eastAsia="Times New Roman" w:hAnsi="Calibri" w:cs="Calibri"/>
                <w:kern w:val="0"/>
                <w:szCs w:val="24"/>
                <w14:ligatures w14:val="none"/>
              </w:rPr>
            </w:pPr>
          </w:p>
        </w:tc>
      </w:tr>
      <w:tr w:rsidR="00990687" w:rsidRPr="00F1381F" w14:paraId="1C7C5F02"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06D8CF70" w14:textId="77777777" w:rsidR="00990687" w:rsidRPr="00F1381F" w:rsidRDefault="00990687" w:rsidP="00990687">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Coalinga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469AAC51" w14:textId="3026DB9B" w:rsidR="00990687" w:rsidRPr="00F1381F" w:rsidRDefault="00990687" w:rsidP="00990687">
            <w:pPr>
              <w:rPr>
                <w:rFonts w:ascii="Calibri" w:eastAsia="Times New Roman" w:hAnsi="Calibri" w:cs="Calibri"/>
                <w:kern w:val="0"/>
                <w:szCs w:val="24"/>
                <w14:ligatures w14:val="none"/>
              </w:rPr>
            </w:pPr>
            <w:r>
              <w:rPr>
                <w:color w:val="000000"/>
                <w:sz w:val="22"/>
              </w:rPr>
              <w:t>Matt</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36D174D8" w14:textId="5DC39E80" w:rsidR="00990687" w:rsidRPr="00F1381F" w:rsidRDefault="00990687" w:rsidP="00990687">
            <w:pPr>
              <w:rPr>
                <w:rFonts w:ascii="Calibri" w:eastAsia="Times New Roman" w:hAnsi="Calibri" w:cs="Calibri"/>
                <w:kern w:val="0"/>
                <w:szCs w:val="24"/>
                <w14:ligatures w14:val="none"/>
              </w:rPr>
            </w:pPr>
            <w:r>
              <w:rPr>
                <w:color w:val="000000"/>
                <w:sz w:val="22"/>
              </w:rPr>
              <w:t>Magnuson</w:t>
            </w:r>
          </w:p>
        </w:tc>
      </w:tr>
      <w:tr w:rsidR="00990687" w:rsidRPr="00F1381F" w14:paraId="72FDBD7A"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6A558FB7" w14:textId="77777777" w:rsidR="00990687" w:rsidRPr="00F1381F" w:rsidRDefault="00990687" w:rsidP="00990687">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Coastline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6F773DF6" w14:textId="34A4827F" w:rsidR="00990687" w:rsidRPr="00F1381F" w:rsidRDefault="00990687" w:rsidP="00990687">
            <w:pPr>
              <w:rPr>
                <w:rFonts w:ascii="Calibri" w:eastAsia="Times New Roman" w:hAnsi="Calibri" w:cs="Calibri"/>
                <w:kern w:val="0"/>
                <w:szCs w:val="24"/>
                <w14:ligatures w14:val="none"/>
              </w:rPr>
            </w:pPr>
            <w:r>
              <w:rPr>
                <w:color w:val="000000"/>
                <w:sz w:val="22"/>
              </w:rPr>
              <w:t>Ann</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4C910871" w14:textId="262F0E7E" w:rsidR="00990687" w:rsidRPr="00F1381F" w:rsidRDefault="00990687" w:rsidP="00990687">
            <w:pPr>
              <w:rPr>
                <w:rFonts w:ascii="Calibri" w:eastAsia="Times New Roman" w:hAnsi="Calibri" w:cs="Calibri"/>
                <w:kern w:val="0"/>
                <w:szCs w:val="24"/>
                <w14:ligatures w14:val="none"/>
              </w:rPr>
            </w:pPr>
            <w:r>
              <w:rPr>
                <w:color w:val="000000"/>
                <w:sz w:val="22"/>
              </w:rPr>
              <w:t>Holliday</w:t>
            </w:r>
          </w:p>
        </w:tc>
      </w:tr>
      <w:tr w:rsidR="00990687" w:rsidRPr="00F1381F" w14:paraId="38379E9D"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0B5AD6C7" w14:textId="77777777" w:rsidR="00990687" w:rsidRPr="00F1381F" w:rsidRDefault="00990687" w:rsidP="00990687">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College of Marin</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36EE41AC" w14:textId="764BAEC5" w:rsidR="00990687" w:rsidRPr="00F1381F" w:rsidRDefault="00990687" w:rsidP="00990687">
            <w:pPr>
              <w:rPr>
                <w:rFonts w:ascii="Calibri" w:eastAsia="Times New Roman" w:hAnsi="Calibri" w:cs="Calibri"/>
                <w:kern w:val="0"/>
                <w:szCs w:val="24"/>
                <w14:ligatures w14:val="none"/>
              </w:rPr>
            </w:pPr>
            <w:r>
              <w:rPr>
                <w:color w:val="000000"/>
                <w:sz w:val="22"/>
              </w:rPr>
              <w:t xml:space="preserve">Maria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6D5A31DB" w14:textId="507CA1D8" w:rsidR="00990687" w:rsidRPr="00F1381F" w:rsidRDefault="00990687" w:rsidP="00990687">
            <w:pPr>
              <w:rPr>
                <w:rFonts w:ascii="Calibri" w:eastAsia="Times New Roman" w:hAnsi="Calibri" w:cs="Calibri"/>
                <w:kern w:val="0"/>
                <w:szCs w:val="24"/>
                <w14:ligatures w14:val="none"/>
              </w:rPr>
            </w:pPr>
            <w:r>
              <w:rPr>
                <w:color w:val="000000"/>
                <w:sz w:val="22"/>
              </w:rPr>
              <w:t>Coulson</w:t>
            </w:r>
          </w:p>
        </w:tc>
      </w:tr>
      <w:tr w:rsidR="00990687" w:rsidRPr="00F1381F" w14:paraId="5E88026F"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48CCB0D8" w14:textId="77777777" w:rsidR="00990687" w:rsidRPr="00F1381F" w:rsidRDefault="00990687" w:rsidP="00990687">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Columbia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6FA93711" w14:textId="5859B30F" w:rsidR="00990687" w:rsidRPr="00F1381F" w:rsidRDefault="00990687" w:rsidP="00990687">
            <w:pPr>
              <w:rPr>
                <w:rFonts w:ascii="Calibri" w:eastAsia="Times New Roman" w:hAnsi="Calibri" w:cs="Calibri"/>
                <w:kern w:val="0"/>
                <w:szCs w:val="24"/>
                <w14:ligatures w14:val="none"/>
              </w:rPr>
            </w:pPr>
            <w:r>
              <w:rPr>
                <w:sz w:val="20"/>
                <w:szCs w:val="20"/>
              </w:rPr>
              <w:t>Marcus</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49B276E5" w14:textId="04372D41" w:rsidR="00990687" w:rsidRPr="00F1381F" w:rsidRDefault="00990687" w:rsidP="00990687">
            <w:pPr>
              <w:rPr>
                <w:rFonts w:ascii="Calibri" w:eastAsia="Times New Roman" w:hAnsi="Calibri" w:cs="Calibri"/>
                <w:kern w:val="0"/>
                <w:szCs w:val="24"/>
                <w14:ligatures w14:val="none"/>
              </w:rPr>
            </w:pPr>
            <w:r>
              <w:rPr>
                <w:sz w:val="20"/>
                <w:szCs w:val="20"/>
              </w:rPr>
              <w:t>Whisenant</w:t>
            </w:r>
          </w:p>
        </w:tc>
      </w:tr>
      <w:tr w:rsidR="00990687" w:rsidRPr="00F1381F" w14:paraId="26BBDDC2"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22D254F6" w14:textId="77777777" w:rsidR="00990687" w:rsidRPr="00F1381F" w:rsidRDefault="00990687" w:rsidP="00990687">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Compton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7A1225C6" w14:textId="53CFD22E" w:rsidR="00990687" w:rsidRPr="00F1381F" w:rsidRDefault="00990687" w:rsidP="00990687">
            <w:pPr>
              <w:rPr>
                <w:rFonts w:ascii="Calibri" w:eastAsia="Times New Roman" w:hAnsi="Calibri" w:cs="Calibri"/>
                <w:kern w:val="0"/>
                <w:szCs w:val="24"/>
                <w14:ligatures w14:val="none"/>
              </w:rPr>
            </w:pPr>
            <w:r>
              <w:rPr>
                <w:color w:val="000000"/>
                <w:sz w:val="22"/>
              </w:rPr>
              <w:t>Sean Christopher</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254016EA" w14:textId="66BF180F" w:rsidR="00990687" w:rsidRPr="00F1381F" w:rsidRDefault="00990687" w:rsidP="00990687">
            <w:pPr>
              <w:rPr>
                <w:rFonts w:ascii="Calibri" w:eastAsia="Times New Roman" w:hAnsi="Calibri" w:cs="Calibri"/>
                <w:kern w:val="0"/>
                <w:szCs w:val="24"/>
                <w14:ligatures w14:val="none"/>
              </w:rPr>
            </w:pPr>
            <w:r>
              <w:rPr>
                <w:color w:val="000000"/>
                <w:sz w:val="22"/>
              </w:rPr>
              <w:t xml:space="preserve">Moore </w:t>
            </w:r>
          </w:p>
        </w:tc>
      </w:tr>
      <w:tr w:rsidR="00990687" w:rsidRPr="00F1381F" w14:paraId="7B6B72D1"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39B133BF" w14:textId="77777777" w:rsidR="00990687" w:rsidRPr="00F1381F" w:rsidRDefault="00990687" w:rsidP="00990687">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Contra Costa CCD</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5E1AFE93" w14:textId="536C7975" w:rsidR="00990687" w:rsidRPr="00F1381F" w:rsidRDefault="005F79F1" w:rsidP="00990687">
            <w:pPr>
              <w:rPr>
                <w:rFonts w:ascii="Calibri" w:eastAsia="Times New Roman" w:hAnsi="Calibri" w:cs="Calibri"/>
                <w:kern w:val="0"/>
                <w:szCs w:val="24"/>
                <w14:ligatures w14:val="none"/>
              </w:rPr>
            </w:pPr>
            <w:r>
              <w:rPr>
                <w:color w:val="000000"/>
                <w:sz w:val="22"/>
              </w:rPr>
              <w:t>Joseph</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4CA54596" w14:textId="32539AA7" w:rsidR="00990687" w:rsidRPr="00F1381F" w:rsidRDefault="005F79F1" w:rsidP="00990687">
            <w:pPr>
              <w:rPr>
                <w:rFonts w:ascii="Calibri" w:eastAsia="Times New Roman" w:hAnsi="Calibri" w:cs="Calibri"/>
                <w:kern w:val="0"/>
                <w:szCs w:val="24"/>
                <w14:ligatures w14:val="none"/>
              </w:rPr>
            </w:pPr>
            <w:r>
              <w:rPr>
                <w:color w:val="000000"/>
                <w:sz w:val="22"/>
              </w:rPr>
              <w:t>Carver</w:t>
            </w:r>
          </w:p>
        </w:tc>
      </w:tr>
      <w:tr w:rsidR="00990687" w:rsidRPr="00F1381F" w14:paraId="6B8B7E4A"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6420A845" w14:textId="77777777" w:rsidR="00990687" w:rsidRPr="00F1381F" w:rsidRDefault="00990687" w:rsidP="00990687">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lastRenderedPageBreak/>
              <w:t>Contra Costa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53E45215" w14:textId="4515ED44" w:rsidR="00990687" w:rsidRPr="00F1381F" w:rsidRDefault="00A77E5B" w:rsidP="00990687">
            <w:pPr>
              <w:rPr>
                <w:rFonts w:ascii="Calibri" w:eastAsia="Times New Roman" w:hAnsi="Calibri" w:cs="Calibri"/>
                <w:kern w:val="0"/>
                <w:szCs w:val="24"/>
                <w14:ligatures w14:val="none"/>
              </w:rPr>
            </w:pPr>
            <w:r>
              <w:rPr>
                <w:color w:val="000000"/>
                <w:sz w:val="22"/>
              </w:rPr>
              <w:t>Gabriela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792DC27F" w14:textId="43D51787" w:rsidR="00990687" w:rsidRPr="00F1381F" w:rsidRDefault="00A77E5B" w:rsidP="00990687">
            <w:pPr>
              <w:rPr>
                <w:rFonts w:ascii="Calibri" w:eastAsia="Times New Roman" w:hAnsi="Calibri" w:cs="Calibri"/>
                <w:kern w:val="0"/>
                <w:szCs w:val="24"/>
                <w14:ligatures w14:val="none"/>
              </w:rPr>
            </w:pPr>
            <w:r>
              <w:rPr>
                <w:color w:val="000000"/>
                <w:sz w:val="22"/>
              </w:rPr>
              <w:t>Segade</w:t>
            </w:r>
          </w:p>
        </w:tc>
      </w:tr>
      <w:tr w:rsidR="00990687" w:rsidRPr="00F1381F" w14:paraId="38B004E5" w14:textId="77777777" w:rsidTr="00420F82">
        <w:trPr>
          <w:trHeight w:val="593"/>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6178DC56" w14:textId="77777777" w:rsidR="00990687" w:rsidRPr="00F1381F" w:rsidRDefault="00990687" w:rsidP="00990687">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Copper Mountain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74A9A808" w14:textId="1182FACF" w:rsidR="00990687" w:rsidRPr="00F1381F" w:rsidRDefault="00A77E5B" w:rsidP="00990687">
            <w:pPr>
              <w:rPr>
                <w:rFonts w:ascii="Calibri" w:eastAsia="Times New Roman" w:hAnsi="Calibri" w:cs="Calibri"/>
                <w:kern w:val="0"/>
                <w:szCs w:val="24"/>
                <w14:ligatures w14:val="none"/>
              </w:rPr>
            </w:pPr>
            <w:r>
              <w:rPr>
                <w:color w:val="000000"/>
                <w:sz w:val="22"/>
              </w:rPr>
              <w:t>Jennifer</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2BA01E1D" w14:textId="2A193459" w:rsidR="00990687" w:rsidRPr="00F1381F" w:rsidRDefault="00365945" w:rsidP="00990687">
            <w:pPr>
              <w:rPr>
                <w:rFonts w:ascii="Calibri" w:eastAsia="Times New Roman" w:hAnsi="Calibri" w:cs="Calibri"/>
                <w:kern w:val="0"/>
                <w:szCs w:val="24"/>
                <w14:ligatures w14:val="none"/>
              </w:rPr>
            </w:pPr>
            <w:r>
              <w:rPr>
                <w:color w:val="000000"/>
                <w:sz w:val="22"/>
              </w:rPr>
              <w:t>Anderson</w:t>
            </w:r>
          </w:p>
        </w:tc>
      </w:tr>
      <w:tr w:rsidR="00420F82" w:rsidRPr="00F1381F" w14:paraId="6FB64147"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136EAD6B" w14:textId="50204825" w:rsidR="00420F82" w:rsidRPr="00F1381F" w:rsidRDefault="00420F82" w:rsidP="00420F82">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Cosumnes River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17FF8F81" w14:textId="337EB925" w:rsidR="00420F82" w:rsidRDefault="00742421" w:rsidP="00420F82">
            <w:pPr>
              <w:rPr>
                <w:color w:val="000000"/>
                <w:sz w:val="22"/>
              </w:rPr>
            </w:pPr>
            <w:r>
              <w:rPr>
                <w:color w:val="000000"/>
                <w:sz w:val="22"/>
              </w:rPr>
              <w:t>Jacob</w:t>
            </w:r>
            <w:r w:rsidR="00420F82">
              <w:rPr>
                <w:color w:val="000000"/>
                <w:sz w:val="22"/>
              </w:rPr>
              <w:t xml:space="preserve">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42311317" w14:textId="3531C21F" w:rsidR="00420F82" w:rsidRDefault="00742421" w:rsidP="00420F82">
            <w:pPr>
              <w:rPr>
                <w:color w:val="000000"/>
                <w:sz w:val="22"/>
              </w:rPr>
            </w:pPr>
            <w:r>
              <w:rPr>
                <w:color w:val="000000"/>
                <w:sz w:val="22"/>
              </w:rPr>
              <w:t>Velasquez</w:t>
            </w:r>
          </w:p>
        </w:tc>
      </w:tr>
      <w:tr w:rsidR="00990687" w:rsidRPr="00F1381F" w14:paraId="428C1922"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53B88E2C" w14:textId="77777777" w:rsidR="00990687" w:rsidRPr="00F1381F" w:rsidRDefault="00990687" w:rsidP="00990687">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Crafton Hills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6A3304AD" w14:textId="72028FEE" w:rsidR="00990687" w:rsidRPr="00F1381F" w:rsidRDefault="00990687" w:rsidP="00990687">
            <w:pPr>
              <w:rPr>
                <w:rFonts w:ascii="Calibri" w:eastAsia="Times New Roman" w:hAnsi="Calibri" w:cs="Calibri"/>
                <w:kern w:val="0"/>
                <w:szCs w:val="24"/>
                <w14:ligatures w14:val="none"/>
              </w:rPr>
            </w:pPr>
            <w:r>
              <w:rPr>
                <w:color w:val="000000"/>
                <w:sz w:val="22"/>
              </w:rPr>
              <w:t>Natalie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424740C2" w14:textId="67589C03" w:rsidR="00990687" w:rsidRPr="00F1381F" w:rsidRDefault="00990687" w:rsidP="00990687">
            <w:pPr>
              <w:rPr>
                <w:rFonts w:ascii="Calibri" w:eastAsia="Times New Roman" w:hAnsi="Calibri" w:cs="Calibri"/>
                <w:kern w:val="0"/>
                <w:szCs w:val="24"/>
                <w14:ligatures w14:val="none"/>
              </w:rPr>
            </w:pPr>
            <w:r>
              <w:rPr>
                <w:color w:val="000000"/>
                <w:sz w:val="22"/>
              </w:rPr>
              <w:t>Lopez</w:t>
            </w:r>
          </w:p>
        </w:tc>
      </w:tr>
      <w:tr w:rsidR="00990687" w:rsidRPr="00F1381F" w14:paraId="0461B55E"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13AD1235" w14:textId="77777777" w:rsidR="00990687" w:rsidRPr="00F1381F" w:rsidRDefault="00990687" w:rsidP="00990687">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Cuesta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71A04176" w14:textId="4D661759" w:rsidR="00990687" w:rsidRPr="00F1381F" w:rsidRDefault="00990687" w:rsidP="00990687">
            <w:pPr>
              <w:rPr>
                <w:rFonts w:ascii="Calibri" w:eastAsia="Times New Roman" w:hAnsi="Calibri" w:cs="Calibri"/>
                <w:kern w:val="0"/>
                <w:szCs w:val="24"/>
                <w14:ligatures w14:val="none"/>
              </w:rPr>
            </w:pPr>
            <w:r>
              <w:rPr>
                <w:color w:val="000000"/>
                <w:sz w:val="22"/>
              </w:rPr>
              <w:t>Alexandra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2BFC2D47" w14:textId="609A9FA0" w:rsidR="00990687" w:rsidRPr="00F1381F" w:rsidRDefault="00990687" w:rsidP="00990687">
            <w:pPr>
              <w:rPr>
                <w:rFonts w:ascii="Calibri" w:eastAsia="Times New Roman" w:hAnsi="Calibri" w:cs="Calibri"/>
                <w:kern w:val="0"/>
                <w:szCs w:val="24"/>
                <w14:ligatures w14:val="none"/>
              </w:rPr>
            </w:pPr>
            <w:r>
              <w:rPr>
                <w:color w:val="000000"/>
                <w:sz w:val="22"/>
              </w:rPr>
              <w:t>Kahane</w:t>
            </w:r>
          </w:p>
        </w:tc>
      </w:tr>
      <w:tr w:rsidR="00990687" w:rsidRPr="00F1381F" w14:paraId="67DA2F1F"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33778FF2" w14:textId="77777777" w:rsidR="00990687" w:rsidRPr="00F1381F" w:rsidRDefault="00990687" w:rsidP="00990687">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Cuyamaca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0CDA049E" w14:textId="26EAA55A" w:rsidR="00990687" w:rsidRPr="00F1381F" w:rsidRDefault="00990687" w:rsidP="00990687">
            <w:pPr>
              <w:rPr>
                <w:rFonts w:ascii="Calibri" w:eastAsia="Times New Roman" w:hAnsi="Calibri" w:cs="Calibri"/>
                <w:kern w:val="0"/>
                <w:szCs w:val="24"/>
                <w14:ligatures w14:val="none"/>
              </w:rPr>
            </w:pPr>
            <w:r>
              <w:rPr>
                <w:color w:val="000000"/>
                <w:sz w:val="22"/>
              </w:rPr>
              <w:t xml:space="preserve">Karen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22EFE2BD" w14:textId="12D63A93" w:rsidR="00990687" w:rsidRPr="00F1381F" w:rsidRDefault="00990687" w:rsidP="00990687">
            <w:pPr>
              <w:rPr>
                <w:rFonts w:ascii="Calibri" w:eastAsia="Times New Roman" w:hAnsi="Calibri" w:cs="Calibri"/>
                <w:kern w:val="0"/>
                <w:szCs w:val="24"/>
                <w14:ligatures w14:val="none"/>
              </w:rPr>
            </w:pPr>
            <w:r>
              <w:rPr>
                <w:color w:val="000000"/>
                <w:sz w:val="22"/>
              </w:rPr>
              <w:t>Marrujo</w:t>
            </w:r>
          </w:p>
        </w:tc>
      </w:tr>
      <w:tr w:rsidR="00990687" w:rsidRPr="00F1381F" w14:paraId="37DEE212"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384E9686" w14:textId="77777777" w:rsidR="00990687" w:rsidRPr="00F1381F" w:rsidRDefault="00990687" w:rsidP="00990687">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Cypress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39F1597D" w14:textId="3F91DAD1" w:rsidR="00990687" w:rsidRPr="00F1381F" w:rsidRDefault="00990687" w:rsidP="00990687">
            <w:pPr>
              <w:rPr>
                <w:rFonts w:ascii="Calibri" w:eastAsia="Times New Roman" w:hAnsi="Calibri" w:cs="Calibri"/>
                <w:kern w:val="0"/>
                <w:szCs w:val="24"/>
                <w14:ligatures w14:val="none"/>
              </w:rPr>
            </w:pPr>
            <w:r>
              <w:rPr>
                <w:color w:val="000000"/>
                <w:sz w:val="22"/>
              </w:rPr>
              <w:t>Kathleen</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7B02DCD5" w14:textId="59844D5B" w:rsidR="00990687" w:rsidRPr="00F1381F" w:rsidRDefault="00990687" w:rsidP="00990687">
            <w:pPr>
              <w:rPr>
                <w:rFonts w:ascii="Calibri" w:eastAsia="Times New Roman" w:hAnsi="Calibri" w:cs="Calibri"/>
                <w:kern w:val="0"/>
                <w:szCs w:val="24"/>
                <w14:ligatures w14:val="none"/>
              </w:rPr>
            </w:pPr>
            <w:r>
              <w:rPr>
                <w:color w:val="000000"/>
                <w:sz w:val="22"/>
              </w:rPr>
              <w:t>McAlister</w:t>
            </w:r>
          </w:p>
        </w:tc>
      </w:tr>
      <w:tr w:rsidR="00990687" w:rsidRPr="00F1381F" w14:paraId="3E6719F2"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7C93AEC4" w14:textId="77777777" w:rsidR="00990687" w:rsidRPr="00F1381F" w:rsidRDefault="00990687" w:rsidP="00990687">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De Anza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48A49A6D" w14:textId="43987633" w:rsidR="00990687" w:rsidRPr="00F1381F" w:rsidRDefault="00990687" w:rsidP="00990687">
            <w:pPr>
              <w:rPr>
                <w:rFonts w:ascii="Calibri" w:eastAsia="Times New Roman" w:hAnsi="Calibri" w:cs="Calibri"/>
                <w:kern w:val="0"/>
                <w:szCs w:val="24"/>
                <w14:ligatures w14:val="none"/>
              </w:rPr>
            </w:pPr>
            <w:r>
              <w:rPr>
                <w:color w:val="000000"/>
                <w:sz w:val="22"/>
              </w:rPr>
              <w:t>Erik</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6DC51FF0" w14:textId="4AFB49B5" w:rsidR="00990687" w:rsidRPr="00F1381F" w:rsidRDefault="00990687" w:rsidP="00990687">
            <w:pPr>
              <w:rPr>
                <w:rFonts w:ascii="Calibri" w:eastAsia="Times New Roman" w:hAnsi="Calibri" w:cs="Calibri"/>
                <w:kern w:val="0"/>
                <w:szCs w:val="24"/>
                <w14:ligatures w14:val="none"/>
              </w:rPr>
            </w:pPr>
            <w:r>
              <w:rPr>
                <w:color w:val="000000"/>
                <w:sz w:val="22"/>
              </w:rPr>
              <w:t>Woodbury</w:t>
            </w:r>
          </w:p>
        </w:tc>
      </w:tr>
      <w:tr w:rsidR="00990687" w:rsidRPr="00F1381F" w14:paraId="4A258FF8"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145B3827" w14:textId="77777777" w:rsidR="00990687" w:rsidRPr="00F1381F" w:rsidRDefault="00990687" w:rsidP="00990687">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Desert, College of</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0A85DE7A" w14:textId="25479406" w:rsidR="00990687" w:rsidRPr="00F1381F" w:rsidRDefault="00990687" w:rsidP="00990687">
            <w:pPr>
              <w:rPr>
                <w:rFonts w:ascii="Calibri" w:eastAsia="Times New Roman" w:hAnsi="Calibri" w:cs="Calibri"/>
                <w:kern w:val="0"/>
                <w:szCs w:val="24"/>
                <w14:ligatures w14:val="none"/>
              </w:rPr>
            </w:pPr>
            <w:r>
              <w:rPr>
                <w:color w:val="000000"/>
                <w:sz w:val="22"/>
              </w:rPr>
              <w:t>Corbyn</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4CB4AB89" w14:textId="460679E7" w:rsidR="00990687" w:rsidRPr="00F1381F" w:rsidRDefault="00990687" w:rsidP="00990687">
            <w:pPr>
              <w:rPr>
                <w:rFonts w:ascii="Calibri" w:eastAsia="Times New Roman" w:hAnsi="Calibri" w:cs="Calibri"/>
                <w:kern w:val="0"/>
                <w:szCs w:val="24"/>
                <w14:ligatures w14:val="none"/>
              </w:rPr>
            </w:pPr>
            <w:r>
              <w:rPr>
                <w:color w:val="000000"/>
                <w:sz w:val="22"/>
              </w:rPr>
              <w:t>Wild</w:t>
            </w:r>
          </w:p>
        </w:tc>
      </w:tr>
      <w:tr w:rsidR="00990687" w:rsidRPr="00F1381F" w14:paraId="0FFD88B4"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1E10F7D6" w14:textId="77777777" w:rsidR="00990687" w:rsidRPr="00F1381F" w:rsidRDefault="00990687" w:rsidP="00990687">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Diablo Valley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0C007EF3" w14:textId="017F76F4" w:rsidR="00990687" w:rsidRPr="00F1381F" w:rsidRDefault="00990687" w:rsidP="00990687">
            <w:pPr>
              <w:rPr>
                <w:rFonts w:ascii="Calibri" w:eastAsia="Times New Roman" w:hAnsi="Calibri" w:cs="Calibri"/>
                <w:kern w:val="0"/>
                <w:szCs w:val="24"/>
                <w14:ligatures w14:val="none"/>
              </w:rPr>
            </w:pPr>
            <w:r>
              <w:rPr>
                <w:color w:val="000000"/>
                <w:sz w:val="22"/>
              </w:rPr>
              <w:t xml:space="preserve">John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0A12D838" w14:textId="12030E90" w:rsidR="00990687" w:rsidRPr="00F1381F" w:rsidRDefault="00990687" w:rsidP="00990687">
            <w:pPr>
              <w:rPr>
                <w:rFonts w:ascii="Calibri" w:eastAsia="Times New Roman" w:hAnsi="Calibri" w:cs="Calibri"/>
                <w:kern w:val="0"/>
                <w:szCs w:val="24"/>
                <w14:ligatures w14:val="none"/>
              </w:rPr>
            </w:pPr>
            <w:r>
              <w:rPr>
                <w:color w:val="000000"/>
                <w:sz w:val="22"/>
              </w:rPr>
              <w:t xml:space="preserve">Freytag </w:t>
            </w:r>
          </w:p>
        </w:tc>
      </w:tr>
      <w:tr w:rsidR="00990687" w:rsidRPr="00F1381F" w14:paraId="50C44B16"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0C722940" w14:textId="77777777" w:rsidR="00990687" w:rsidRPr="00F1381F" w:rsidRDefault="00990687" w:rsidP="00990687">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East Los Angeles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12A53726" w14:textId="1A526C54" w:rsidR="00990687" w:rsidRPr="00F1381F" w:rsidRDefault="00990687" w:rsidP="00990687">
            <w:pPr>
              <w:rPr>
                <w:rFonts w:ascii="Calibri" w:eastAsia="Times New Roman" w:hAnsi="Calibri" w:cs="Calibri"/>
                <w:kern w:val="0"/>
                <w:szCs w:val="24"/>
                <w14:ligatures w14:val="none"/>
              </w:rPr>
            </w:pPr>
            <w:r>
              <w:rPr>
                <w:color w:val="000000"/>
                <w:sz w:val="22"/>
              </w:rPr>
              <w:t>Leticia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67415770" w14:textId="67129277" w:rsidR="00990687" w:rsidRPr="00F1381F" w:rsidRDefault="00990687" w:rsidP="00990687">
            <w:pPr>
              <w:rPr>
                <w:rFonts w:ascii="Calibri" w:eastAsia="Times New Roman" w:hAnsi="Calibri" w:cs="Calibri"/>
                <w:kern w:val="0"/>
                <w:szCs w:val="24"/>
                <w14:ligatures w14:val="none"/>
              </w:rPr>
            </w:pPr>
            <w:r>
              <w:rPr>
                <w:color w:val="000000"/>
                <w:sz w:val="22"/>
              </w:rPr>
              <w:t>Barajas</w:t>
            </w:r>
          </w:p>
        </w:tc>
      </w:tr>
      <w:tr w:rsidR="00990687" w:rsidRPr="00F1381F" w14:paraId="516420B3"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15817E4F" w14:textId="77777777" w:rsidR="00990687" w:rsidRPr="00F1381F" w:rsidRDefault="00990687" w:rsidP="00990687">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Evergreen Valley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23D76515" w14:textId="4E89CD69" w:rsidR="00990687" w:rsidRPr="00F1381F" w:rsidRDefault="00990687" w:rsidP="00990687">
            <w:pPr>
              <w:rPr>
                <w:rFonts w:ascii="Calibri" w:eastAsia="Times New Roman" w:hAnsi="Calibri" w:cs="Calibri"/>
                <w:kern w:val="0"/>
                <w:szCs w:val="24"/>
                <w14:ligatures w14:val="none"/>
              </w:rPr>
            </w:pPr>
            <w:r>
              <w:rPr>
                <w:color w:val="000000"/>
                <w:sz w:val="22"/>
              </w:rPr>
              <w:t xml:space="preserve">Eric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194D9BF1" w14:textId="179A2624" w:rsidR="00990687" w:rsidRPr="00F1381F" w:rsidRDefault="00990687" w:rsidP="00990687">
            <w:pPr>
              <w:rPr>
                <w:rFonts w:ascii="Calibri" w:eastAsia="Times New Roman" w:hAnsi="Calibri" w:cs="Calibri"/>
                <w:kern w:val="0"/>
                <w:szCs w:val="24"/>
                <w14:ligatures w14:val="none"/>
              </w:rPr>
            </w:pPr>
            <w:r>
              <w:rPr>
                <w:color w:val="000000"/>
                <w:sz w:val="22"/>
              </w:rPr>
              <w:t xml:space="preserve">Narveson </w:t>
            </w:r>
          </w:p>
        </w:tc>
      </w:tr>
      <w:tr w:rsidR="00466CDB" w:rsidRPr="00F1381F" w14:paraId="1A9CD818"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5BD9B710" w14:textId="15D0DF31" w:rsidR="00466CDB" w:rsidRPr="00F1381F" w:rsidRDefault="00466CDB" w:rsidP="00466CDB">
            <w:pPr>
              <w:rPr>
                <w:rFonts w:ascii="Calibri" w:eastAsia="Times New Roman" w:hAnsi="Calibri" w:cs="Calibri"/>
                <w:kern w:val="0"/>
                <w:szCs w:val="24"/>
                <w14:ligatures w14:val="none"/>
              </w:rPr>
            </w:pPr>
            <w:r>
              <w:rPr>
                <w:rFonts w:ascii="Calibri" w:eastAsia="Times New Roman" w:hAnsi="Calibri" w:cs="Calibri"/>
                <w:kern w:val="0"/>
                <w:szCs w:val="24"/>
                <w14:ligatures w14:val="none"/>
              </w:rPr>
              <w:t>Feather River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4A50DACC" w14:textId="11B352DD" w:rsidR="00466CDB" w:rsidRDefault="00466CDB" w:rsidP="00466CDB">
            <w:pPr>
              <w:rPr>
                <w:color w:val="000000"/>
                <w:sz w:val="22"/>
              </w:rPr>
            </w:pPr>
            <w:r>
              <w:rPr>
                <w:color w:val="000000"/>
                <w:sz w:val="22"/>
              </w:rPr>
              <w:t>Nikki</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1AE692DD" w14:textId="277EB0F8" w:rsidR="00466CDB" w:rsidRDefault="00466CDB" w:rsidP="00466CDB">
            <w:pPr>
              <w:rPr>
                <w:color w:val="000000"/>
                <w:sz w:val="22"/>
              </w:rPr>
            </w:pPr>
            <w:r>
              <w:rPr>
                <w:color w:val="000000"/>
                <w:sz w:val="22"/>
              </w:rPr>
              <w:t>Grose</w:t>
            </w:r>
          </w:p>
        </w:tc>
      </w:tr>
      <w:tr w:rsidR="0044746A" w:rsidRPr="00F1381F" w14:paraId="43FCD7BC"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09475D0E" w14:textId="77777777" w:rsidR="0044746A" w:rsidRPr="00F1381F" w:rsidRDefault="0044746A" w:rsidP="0044746A">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Folsom Lake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11C99664" w14:textId="68700B74" w:rsidR="0044746A" w:rsidRPr="00F1381F" w:rsidRDefault="0044746A" w:rsidP="0044746A">
            <w:pPr>
              <w:rPr>
                <w:rFonts w:ascii="Calibri" w:eastAsia="Times New Roman" w:hAnsi="Calibri" w:cs="Calibri"/>
                <w:kern w:val="0"/>
                <w:szCs w:val="24"/>
                <w14:ligatures w14:val="none"/>
              </w:rPr>
            </w:pPr>
            <w:r>
              <w:rPr>
                <w:color w:val="000000"/>
                <w:sz w:val="22"/>
              </w:rPr>
              <w:t>Wayne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7D9B258F" w14:textId="2D744B77" w:rsidR="0044746A" w:rsidRPr="00F1381F" w:rsidRDefault="0044746A" w:rsidP="0044746A">
            <w:pPr>
              <w:rPr>
                <w:rFonts w:ascii="Calibri" w:eastAsia="Times New Roman" w:hAnsi="Calibri" w:cs="Calibri"/>
                <w:kern w:val="0"/>
                <w:szCs w:val="24"/>
                <w14:ligatures w14:val="none"/>
              </w:rPr>
            </w:pPr>
            <w:r>
              <w:rPr>
                <w:color w:val="000000"/>
                <w:sz w:val="22"/>
              </w:rPr>
              <w:t>Jensen</w:t>
            </w:r>
          </w:p>
        </w:tc>
      </w:tr>
      <w:tr w:rsidR="0044746A" w:rsidRPr="00F1381F" w14:paraId="6FBBE501"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55ED19A4" w14:textId="77777777" w:rsidR="0044746A" w:rsidRPr="00F1381F" w:rsidRDefault="0044746A" w:rsidP="0044746A">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Foothill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03FD9A53" w14:textId="617FE467" w:rsidR="0044746A" w:rsidRPr="00F1381F" w:rsidRDefault="0044746A" w:rsidP="0044746A">
            <w:pPr>
              <w:rPr>
                <w:rFonts w:ascii="Calibri" w:eastAsia="Times New Roman" w:hAnsi="Calibri" w:cs="Calibri"/>
                <w:kern w:val="0"/>
                <w:szCs w:val="24"/>
                <w14:ligatures w14:val="none"/>
              </w:rPr>
            </w:pPr>
            <w:r>
              <w:rPr>
                <w:color w:val="000000"/>
                <w:sz w:val="22"/>
              </w:rPr>
              <w:t>Voltaire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33160B4A" w14:textId="026A2AE6" w:rsidR="0044746A" w:rsidRPr="00F1381F" w:rsidRDefault="0044746A" w:rsidP="0044746A">
            <w:pPr>
              <w:rPr>
                <w:rFonts w:ascii="Calibri" w:eastAsia="Times New Roman" w:hAnsi="Calibri" w:cs="Calibri"/>
                <w:kern w:val="0"/>
                <w:szCs w:val="24"/>
                <w14:ligatures w14:val="none"/>
              </w:rPr>
            </w:pPr>
            <w:r>
              <w:rPr>
                <w:color w:val="000000"/>
                <w:sz w:val="22"/>
              </w:rPr>
              <w:t>Villanueva</w:t>
            </w:r>
          </w:p>
        </w:tc>
      </w:tr>
      <w:tr w:rsidR="0044746A" w:rsidRPr="00F1381F" w14:paraId="5C448FDB"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164D5060" w14:textId="77777777" w:rsidR="0044746A" w:rsidRPr="00F1381F" w:rsidRDefault="0044746A" w:rsidP="0044746A">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Foothill DeAnza CCD</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2F1133D7" w14:textId="3DFC671D" w:rsidR="0044746A" w:rsidRPr="00F1381F" w:rsidRDefault="0044746A" w:rsidP="0044746A">
            <w:pPr>
              <w:rPr>
                <w:rFonts w:ascii="Calibri" w:eastAsia="Times New Roman" w:hAnsi="Calibri" w:cs="Calibri"/>
                <w:kern w:val="0"/>
                <w:szCs w:val="24"/>
                <w14:ligatures w14:val="none"/>
              </w:rPr>
            </w:pPr>
            <w:r>
              <w:rPr>
                <w:color w:val="000000"/>
                <w:sz w:val="22"/>
              </w:rPr>
              <w:t>Kathryn</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41FE8517" w14:textId="170C87CD" w:rsidR="0044746A" w:rsidRPr="00F1381F" w:rsidRDefault="0044746A" w:rsidP="0044746A">
            <w:pPr>
              <w:rPr>
                <w:rFonts w:ascii="Calibri" w:eastAsia="Times New Roman" w:hAnsi="Calibri" w:cs="Calibri"/>
                <w:kern w:val="0"/>
                <w:szCs w:val="24"/>
                <w14:ligatures w14:val="none"/>
              </w:rPr>
            </w:pPr>
            <w:r>
              <w:rPr>
                <w:color w:val="000000"/>
                <w:sz w:val="22"/>
              </w:rPr>
              <w:t xml:space="preserve">Maurer </w:t>
            </w:r>
          </w:p>
        </w:tc>
      </w:tr>
      <w:tr w:rsidR="0044746A" w:rsidRPr="00F1381F" w14:paraId="630202D6"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4D4FAFDB" w14:textId="77777777" w:rsidR="0044746A" w:rsidRPr="00F1381F" w:rsidRDefault="0044746A" w:rsidP="0044746A">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Fresno City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051A4299" w14:textId="56C279CB" w:rsidR="0044746A" w:rsidRPr="00F1381F" w:rsidRDefault="0044746A" w:rsidP="0044746A">
            <w:pPr>
              <w:rPr>
                <w:rFonts w:ascii="Calibri" w:eastAsia="Times New Roman" w:hAnsi="Calibri" w:cs="Calibri"/>
                <w:kern w:val="0"/>
                <w:szCs w:val="24"/>
                <w14:ligatures w14:val="none"/>
              </w:rPr>
            </w:pPr>
            <w:r>
              <w:rPr>
                <w:sz w:val="20"/>
                <w:szCs w:val="20"/>
              </w:rPr>
              <w:t>Karla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5B79997C" w14:textId="7DC75508" w:rsidR="0044746A" w:rsidRPr="00F1381F" w:rsidRDefault="0044746A" w:rsidP="0044746A">
            <w:pPr>
              <w:rPr>
                <w:rFonts w:ascii="Calibri" w:eastAsia="Times New Roman" w:hAnsi="Calibri" w:cs="Calibri"/>
                <w:kern w:val="0"/>
                <w:szCs w:val="24"/>
                <w14:ligatures w14:val="none"/>
              </w:rPr>
            </w:pPr>
            <w:r>
              <w:rPr>
                <w:sz w:val="20"/>
                <w:szCs w:val="20"/>
              </w:rPr>
              <w:t>Kirk</w:t>
            </w:r>
          </w:p>
        </w:tc>
      </w:tr>
      <w:tr w:rsidR="009B1B3C" w:rsidRPr="00F1381F" w14:paraId="1D9E08DC"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5F33AEF2" w14:textId="77777777" w:rsidR="009B1B3C" w:rsidRPr="00F1381F" w:rsidRDefault="009B1B3C" w:rsidP="009B1B3C">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Fullerton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5CCB66A2" w14:textId="0DE91E46" w:rsidR="009B1B3C" w:rsidRPr="00F1381F" w:rsidRDefault="009B1B3C" w:rsidP="009B1B3C">
            <w:pPr>
              <w:rPr>
                <w:rFonts w:ascii="Calibri" w:eastAsia="Times New Roman" w:hAnsi="Calibri" w:cs="Calibri"/>
                <w:kern w:val="0"/>
                <w:szCs w:val="24"/>
                <w14:ligatures w14:val="none"/>
              </w:rPr>
            </w:pPr>
            <w:r>
              <w:rPr>
                <w:color w:val="000000"/>
                <w:sz w:val="22"/>
              </w:rPr>
              <w:t>Bridget</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022D4433" w14:textId="433B1AA7" w:rsidR="009B1B3C" w:rsidRPr="00F1381F" w:rsidRDefault="009B1B3C" w:rsidP="009B1B3C">
            <w:pPr>
              <w:rPr>
                <w:rFonts w:ascii="Calibri" w:eastAsia="Times New Roman" w:hAnsi="Calibri" w:cs="Calibri"/>
                <w:kern w:val="0"/>
                <w:szCs w:val="24"/>
                <w14:ligatures w14:val="none"/>
              </w:rPr>
            </w:pPr>
            <w:r>
              <w:rPr>
                <w:color w:val="000000"/>
                <w:sz w:val="22"/>
              </w:rPr>
              <w:t xml:space="preserve">Kominek </w:t>
            </w:r>
          </w:p>
        </w:tc>
      </w:tr>
      <w:tr w:rsidR="009B1B3C" w:rsidRPr="00F1381F" w14:paraId="25DE2974"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52C69978" w14:textId="77777777" w:rsidR="009B1B3C" w:rsidRPr="00F1381F" w:rsidRDefault="009B1B3C" w:rsidP="009B1B3C">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Gavilan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27FA6E42" w14:textId="4D7A4D7C" w:rsidR="009B1B3C" w:rsidRPr="00F1381F" w:rsidRDefault="009B1B3C" w:rsidP="009B1B3C">
            <w:pPr>
              <w:rPr>
                <w:rFonts w:ascii="Calibri" w:eastAsia="Times New Roman" w:hAnsi="Calibri" w:cs="Calibri"/>
                <w:kern w:val="0"/>
                <w:szCs w:val="24"/>
                <w14:ligatures w14:val="none"/>
              </w:rPr>
            </w:pPr>
            <w:r>
              <w:rPr>
                <w:color w:val="000000"/>
                <w:sz w:val="22"/>
              </w:rPr>
              <w:t>Cherise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4D648F66" w14:textId="67FB7F90" w:rsidR="009B1B3C" w:rsidRPr="00F1381F" w:rsidRDefault="009B1B3C" w:rsidP="009B1B3C">
            <w:pPr>
              <w:rPr>
                <w:rFonts w:ascii="Calibri" w:eastAsia="Times New Roman" w:hAnsi="Calibri" w:cs="Calibri"/>
                <w:kern w:val="0"/>
                <w:szCs w:val="24"/>
                <w14:ligatures w14:val="none"/>
              </w:rPr>
            </w:pPr>
            <w:r>
              <w:rPr>
                <w:color w:val="000000"/>
                <w:sz w:val="22"/>
              </w:rPr>
              <w:t>Mantia</w:t>
            </w:r>
          </w:p>
        </w:tc>
      </w:tr>
      <w:tr w:rsidR="009B1B3C" w:rsidRPr="00F1381F" w14:paraId="4E8EE4F6"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56E9021C" w14:textId="77777777" w:rsidR="009B1B3C" w:rsidRPr="00F1381F" w:rsidRDefault="009B1B3C" w:rsidP="009B1B3C">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Glendale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4402C423" w14:textId="36599845" w:rsidR="009B1B3C" w:rsidRPr="00F1381F" w:rsidRDefault="009B1B3C" w:rsidP="009B1B3C">
            <w:pPr>
              <w:rPr>
                <w:rFonts w:ascii="Calibri" w:eastAsia="Times New Roman" w:hAnsi="Calibri" w:cs="Calibri"/>
                <w:kern w:val="0"/>
                <w:szCs w:val="24"/>
                <w14:ligatures w14:val="none"/>
              </w:rPr>
            </w:pPr>
            <w:r>
              <w:rPr>
                <w:color w:val="000000"/>
                <w:sz w:val="22"/>
              </w:rPr>
              <w:t>Cameron</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392B55FF" w14:textId="26336A8E" w:rsidR="009B1B3C" w:rsidRPr="00F1381F" w:rsidRDefault="009B1B3C" w:rsidP="009B1B3C">
            <w:pPr>
              <w:rPr>
                <w:rFonts w:ascii="Calibri" w:eastAsia="Times New Roman" w:hAnsi="Calibri" w:cs="Calibri"/>
                <w:kern w:val="0"/>
                <w:szCs w:val="24"/>
                <w14:ligatures w14:val="none"/>
              </w:rPr>
            </w:pPr>
            <w:r>
              <w:rPr>
                <w:color w:val="000000"/>
                <w:sz w:val="22"/>
              </w:rPr>
              <w:t>Hastings</w:t>
            </w:r>
          </w:p>
        </w:tc>
      </w:tr>
      <w:tr w:rsidR="00713E19" w:rsidRPr="00F1381F" w14:paraId="4F830AAD"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5AF29C97" w14:textId="77777777" w:rsidR="00713E19" w:rsidRPr="00F1381F" w:rsidRDefault="00713E19" w:rsidP="00713E19">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Golden West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286E23ED" w14:textId="11222251" w:rsidR="00713E19" w:rsidRPr="00F1381F" w:rsidRDefault="00713E19" w:rsidP="00713E19">
            <w:pPr>
              <w:rPr>
                <w:rFonts w:ascii="Calibri" w:eastAsia="Times New Roman" w:hAnsi="Calibri" w:cs="Calibri"/>
                <w:kern w:val="0"/>
                <w:szCs w:val="24"/>
                <w14:ligatures w14:val="none"/>
              </w:rPr>
            </w:pPr>
            <w:r>
              <w:rPr>
                <w:color w:val="000000"/>
                <w:sz w:val="22"/>
              </w:rPr>
              <w:t>Damien</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2464F11F" w14:textId="658B3638" w:rsidR="00713E19" w:rsidRPr="00F1381F" w:rsidRDefault="00713E19" w:rsidP="00713E19">
            <w:pPr>
              <w:rPr>
                <w:rFonts w:ascii="Calibri" w:eastAsia="Times New Roman" w:hAnsi="Calibri" w:cs="Calibri"/>
                <w:kern w:val="0"/>
                <w:szCs w:val="24"/>
                <w14:ligatures w14:val="none"/>
              </w:rPr>
            </w:pPr>
            <w:r>
              <w:rPr>
                <w:color w:val="000000"/>
                <w:sz w:val="22"/>
              </w:rPr>
              <w:t>Jordan</w:t>
            </w:r>
          </w:p>
        </w:tc>
      </w:tr>
      <w:tr w:rsidR="00713E19" w:rsidRPr="00F1381F" w14:paraId="468569A8"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713D7592" w14:textId="77777777" w:rsidR="00713E19" w:rsidRPr="00F1381F" w:rsidRDefault="00713E19" w:rsidP="00713E19">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Grossmont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5DD4635D" w14:textId="28ABF669" w:rsidR="00713E19" w:rsidRPr="00F1381F" w:rsidRDefault="00713E19" w:rsidP="00713E19">
            <w:pPr>
              <w:rPr>
                <w:rFonts w:ascii="Calibri" w:eastAsia="Times New Roman" w:hAnsi="Calibri" w:cs="Calibri"/>
                <w:kern w:val="0"/>
                <w:szCs w:val="24"/>
                <w14:ligatures w14:val="none"/>
              </w:rPr>
            </w:pPr>
            <w:r>
              <w:rPr>
                <w:color w:val="000000"/>
                <w:sz w:val="22"/>
              </w:rPr>
              <w:t>Perla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37F4D468" w14:textId="6818DB7B" w:rsidR="00713E19" w:rsidRPr="00F1381F" w:rsidRDefault="00713E19" w:rsidP="00713E19">
            <w:pPr>
              <w:rPr>
                <w:rFonts w:ascii="Calibri" w:eastAsia="Times New Roman" w:hAnsi="Calibri" w:cs="Calibri"/>
                <w:kern w:val="0"/>
                <w:szCs w:val="24"/>
                <w14:ligatures w14:val="none"/>
              </w:rPr>
            </w:pPr>
            <w:r>
              <w:rPr>
                <w:color w:val="000000"/>
                <w:sz w:val="22"/>
              </w:rPr>
              <w:t>Lopez</w:t>
            </w:r>
          </w:p>
        </w:tc>
      </w:tr>
      <w:tr w:rsidR="00990687" w:rsidRPr="00F1381F" w14:paraId="1E9CC86F"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07331DA3" w14:textId="77777777" w:rsidR="00990687" w:rsidRPr="00F1381F" w:rsidRDefault="00990687" w:rsidP="00990687">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Hartnell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4F04B441" w14:textId="5317B620" w:rsidR="00990687" w:rsidRPr="00F1381F" w:rsidRDefault="00990687" w:rsidP="00990687">
            <w:pPr>
              <w:rPr>
                <w:rFonts w:ascii="Calibri" w:eastAsia="Times New Roman" w:hAnsi="Calibri" w:cs="Calibri"/>
                <w:kern w:val="0"/>
                <w:szCs w:val="24"/>
                <w14:ligatures w14:val="none"/>
              </w:rPr>
            </w:pP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02840ABE" w14:textId="6C855B98" w:rsidR="00990687" w:rsidRPr="00F1381F" w:rsidRDefault="00990687" w:rsidP="00990687">
            <w:pPr>
              <w:rPr>
                <w:rFonts w:ascii="Calibri" w:eastAsia="Times New Roman" w:hAnsi="Calibri" w:cs="Calibri"/>
                <w:kern w:val="0"/>
                <w:szCs w:val="24"/>
                <w14:ligatures w14:val="none"/>
              </w:rPr>
            </w:pPr>
          </w:p>
        </w:tc>
      </w:tr>
      <w:tr w:rsidR="00990687" w:rsidRPr="00F1381F" w14:paraId="6AFE1C9C"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7FC200A5" w14:textId="77777777" w:rsidR="00990687" w:rsidRPr="00F1381F" w:rsidRDefault="00990687" w:rsidP="00990687">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Imperial Valley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509FC53B" w14:textId="1FCBFB71" w:rsidR="00990687" w:rsidRPr="00F1381F" w:rsidRDefault="00990687" w:rsidP="00990687">
            <w:pPr>
              <w:rPr>
                <w:rFonts w:ascii="Calibri" w:eastAsia="Times New Roman" w:hAnsi="Calibri" w:cs="Calibri"/>
                <w:kern w:val="0"/>
                <w:szCs w:val="24"/>
                <w14:ligatures w14:val="none"/>
              </w:rPr>
            </w:pPr>
            <w:r>
              <w:rPr>
                <w:color w:val="000000"/>
                <w:sz w:val="22"/>
              </w:rPr>
              <w:t>Ric</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1C5E5C0D" w14:textId="6F79E77A" w:rsidR="00990687" w:rsidRPr="00F1381F" w:rsidRDefault="00990687" w:rsidP="00990687">
            <w:pPr>
              <w:rPr>
                <w:rFonts w:ascii="Calibri" w:eastAsia="Times New Roman" w:hAnsi="Calibri" w:cs="Calibri"/>
                <w:kern w:val="0"/>
                <w:szCs w:val="24"/>
                <w14:ligatures w14:val="none"/>
              </w:rPr>
            </w:pPr>
            <w:r>
              <w:rPr>
                <w:color w:val="000000"/>
                <w:sz w:val="22"/>
              </w:rPr>
              <w:t>Epps</w:t>
            </w:r>
          </w:p>
        </w:tc>
      </w:tr>
      <w:tr w:rsidR="00990687" w:rsidRPr="00F1381F" w14:paraId="628F0984"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319C8E39" w14:textId="77777777" w:rsidR="00990687" w:rsidRPr="00F1381F" w:rsidRDefault="00990687" w:rsidP="00990687">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Irvine Valley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5E08FCCB" w14:textId="32B233D3" w:rsidR="00990687" w:rsidRPr="00F1381F" w:rsidRDefault="00990687" w:rsidP="00990687">
            <w:pPr>
              <w:rPr>
                <w:rFonts w:ascii="Calibri" w:eastAsia="Times New Roman" w:hAnsi="Calibri" w:cs="Calibri"/>
                <w:kern w:val="0"/>
                <w:szCs w:val="24"/>
                <w14:ligatures w14:val="none"/>
              </w:rPr>
            </w:pPr>
            <w:r>
              <w:rPr>
                <w:color w:val="000000"/>
                <w:sz w:val="22"/>
              </w:rPr>
              <w:t>RJ</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19D6DAA7" w14:textId="797AECE8" w:rsidR="00990687" w:rsidRPr="00F1381F" w:rsidRDefault="00990687" w:rsidP="00990687">
            <w:pPr>
              <w:rPr>
                <w:rFonts w:ascii="Calibri" w:eastAsia="Times New Roman" w:hAnsi="Calibri" w:cs="Calibri"/>
                <w:kern w:val="0"/>
                <w:szCs w:val="24"/>
                <w14:ligatures w14:val="none"/>
              </w:rPr>
            </w:pPr>
            <w:r>
              <w:rPr>
                <w:color w:val="000000"/>
                <w:sz w:val="22"/>
              </w:rPr>
              <w:t>Dolbin</w:t>
            </w:r>
          </w:p>
        </w:tc>
      </w:tr>
      <w:tr w:rsidR="00990687" w:rsidRPr="00F1381F" w14:paraId="4D6FC48D"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246CE66B" w14:textId="77777777" w:rsidR="00990687" w:rsidRPr="00F1381F" w:rsidRDefault="00990687" w:rsidP="00990687">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lastRenderedPageBreak/>
              <w:t>Laney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00D06C12" w14:textId="7BDF7684" w:rsidR="00990687" w:rsidRPr="00F1381F" w:rsidRDefault="00990687" w:rsidP="00990687">
            <w:pPr>
              <w:rPr>
                <w:rFonts w:ascii="Calibri" w:eastAsia="Times New Roman" w:hAnsi="Calibri" w:cs="Calibri"/>
                <w:kern w:val="0"/>
                <w:szCs w:val="24"/>
                <w14:ligatures w14:val="none"/>
              </w:rPr>
            </w:pPr>
            <w:r>
              <w:rPr>
                <w:color w:val="000000"/>
                <w:sz w:val="22"/>
              </w:rPr>
              <w:t>Leslie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56CE8FCE" w14:textId="46D29812" w:rsidR="00990687" w:rsidRPr="00F1381F" w:rsidRDefault="00990687" w:rsidP="00990687">
            <w:pPr>
              <w:rPr>
                <w:rFonts w:ascii="Calibri" w:eastAsia="Times New Roman" w:hAnsi="Calibri" w:cs="Calibri"/>
                <w:kern w:val="0"/>
                <w:szCs w:val="24"/>
                <w14:ligatures w14:val="none"/>
              </w:rPr>
            </w:pPr>
            <w:r>
              <w:rPr>
                <w:color w:val="000000"/>
                <w:sz w:val="22"/>
              </w:rPr>
              <w:t>Blackie</w:t>
            </w:r>
          </w:p>
        </w:tc>
      </w:tr>
      <w:tr w:rsidR="00990687" w:rsidRPr="00F1381F" w14:paraId="5BE54F77"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53D43E0C" w14:textId="77777777" w:rsidR="00990687" w:rsidRPr="00F1381F" w:rsidRDefault="00990687" w:rsidP="00990687">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Las Positas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105D309F" w14:textId="1820B698" w:rsidR="00990687" w:rsidRPr="00F1381F" w:rsidRDefault="00990687" w:rsidP="00990687">
            <w:pPr>
              <w:rPr>
                <w:rFonts w:ascii="Calibri" w:eastAsia="Times New Roman" w:hAnsi="Calibri" w:cs="Calibri"/>
                <w:kern w:val="0"/>
                <w:szCs w:val="24"/>
                <w14:ligatures w14:val="none"/>
              </w:rPr>
            </w:pPr>
            <w:r>
              <w:rPr>
                <w:color w:val="000000"/>
                <w:sz w:val="22"/>
              </w:rPr>
              <w:t xml:space="preserve">Ashley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621F0A91" w14:textId="3A09A6B5" w:rsidR="00990687" w:rsidRPr="00F1381F" w:rsidRDefault="00990687" w:rsidP="00990687">
            <w:pPr>
              <w:rPr>
                <w:rFonts w:ascii="Calibri" w:eastAsia="Times New Roman" w:hAnsi="Calibri" w:cs="Calibri"/>
                <w:kern w:val="0"/>
                <w:szCs w:val="24"/>
                <w14:ligatures w14:val="none"/>
              </w:rPr>
            </w:pPr>
            <w:r>
              <w:rPr>
                <w:color w:val="000000"/>
                <w:sz w:val="22"/>
              </w:rPr>
              <w:t>McHale</w:t>
            </w:r>
          </w:p>
        </w:tc>
      </w:tr>
      <w:tr w:rsidR="00990687" w:rsidRPr="00F1381F" w14:paraId="711D1256"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07266C90" w14:textId="77777777" w:rsidR="00990687" w:rsidRPr="00F1381F" w:rsidRDefault="00990687" w:rsidP="00990687">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Lassen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681F8C1A" w14:textId="1F4D3E27" w:rsidR="00990687" w:rsidRPr="00F1381F" w:rsidRDefault="00990687" w:rsidP="00990687">
            <w:pPr>
              <w:rPr>
                <w:rFonts w:ascii="Calibri" w:eastAsia="Times New Roman" w:hAnsi="Calibri" w:cs="Calibri"/>
                <w:kern w:val="0"/>
                <w:szCs w:val="24"/>
                <w14:ligatures w14:val="none"/>
              </w:rPr>
            </w:pPr>
            <w:r>
              <w:rPr>
                <w:color w:val="000000"/>
                <w:sz w:val="22"/>
              </w:rPr>
              <w:t>Adam</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1D4EBFB4" w14:textId="7156342F" w:rsidR="00990687" w:rsidRPr="00F1381F" w:rsidRDefault="00990687" w:rsidP="00990687">
            <w:pPr>
              <w:rPr>
                <w:rFonts w:ascii="Calibri" w:eastAsia="Times New Roman" w:hAnsi="Calibri" w:cs="Calibri"/>
                <w:kern w:val="0"/>
                <w:szCs w:val="24"/>
                <w14:ligatures w14:val="none"/>
              </w:rPr>
            </w:pPr>
            <w:r>
              <w:rPr>
                <w:color w:val="000000"/>
                <w:sz w:val="22"/>
              </w:rPr>
              <w:t>Runyan</w:t>
            </w:r>
          </w:p>
        </w:tc>
      </w:tr>
      <w:tr w:rsidR="00990687" w:rsidRPr="00F1381F" w14:paraId="2E32D916"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0355650E" w14:textId="77777777" w:rsidR="00990687" w:rsidRPr="00F1381F" w:rsidRDefault="00990687" w:rsidP="00990687">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Lemoore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7E128EA4" w14:textId="5DFCBC57" w:rsidR="00990687" w:rsidRPr="00F1381F" w:rsidRDefault="00990687" w:rsidP="00990687">
            <w:pPr>
              <w:rPr>
                <w:rFonts w:ascii="Calibri" w:eastAsia="Times New Roman" w:hAnsi="Calibri" w:cs="Calibri"/>
                <w:kern w:val="0"/>
                <w:szCs w:val="24"/>
                <w14:ligatures w14:val="none"/>
              </w:rPr>
            </w:pP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28F73181" w14:textId="2BC5CAAB" w:rsidR="00990687" w:rsidRPr="00F1381F" w:rsidRDefault="00990687" w:rsidP="00990687">
            <w:pPr>
              <w:rPr>
                <w:rFonts w:ascii="Calibri" w:eastAsia="Times New Roman" w:hAnsi="Calibri" w:cs="Calibri"/>
                <w:kern w:val="0"/>
                <w:szCs w:val="24"/>
                <w14:ligatures w14:val="none"/>
              </w:rPr>
            </w:pPr>
          </w:p>
        </w:tc>
      </w:tr>
      <w:tr w:rsidR="00A51996" w:rsidRPr="00F1381F" w14:paraId="15776C0C"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6FBEF5CF" w14:textId="77777777" w:rsidR="00A51996" w:rsidRPr="00F1381F" w:rsidRDefault="00A51996" w:rsidP="00A51996">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Long Beach City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0BE8F7B8" w14:textId="517FEC42" w:rsidR="00A51996" w:rsidRPr="00F1381F" w:rsidRDefault="00A51996" w:rsidP="00A51996">
            <w:pPr>
              <w:rPr>
                <w:rFonts w:ascii="Calibri" w:eastAsia="Times New Roman" w:hAnsi="Calibri" w:cs="Calibri"/>
                <w:kern w:val="0"/>
                <w:szCs w:val="24"/>
                <w14:ligatures w14:val="none"/>
              </w:rPr>
            </w:pPr>
            <w:r>
              <w:rPr>
                <w:color w:val="000000"/>
                <w:sz w:val="22"/>
              </w:rPr>
              <w:t>Jerome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03740884" w14:textId="339771B9" w:rsidR="00A51996" w:rsidRPr="00F1381F" w:rsidRDefault="00A51996" w:rsidP="00A51996">
            <w:pPr>
              <w:rPr>
                <w:rFonts w:ascii="Calibri" w:eastAsia="Times New Roman" w:hAnsi="Calibri" w:cs="Calibri"/>
                <w:kern w:val="0"/>
                <w:szCs w:val="24"/>
                <w14:ligatures w14:val="none"/>
              </w:rPr>
            </w:pPr>
            <w:r>
              <w:rPr>
                <w:color w:val="000000"/>
                <w:sz w:val="22"/>
              </w:rPr>
              <w:t xml:space="preserve">Hunt </w:t>
            </w:r>
          </w:p>
        </w:tc>
      </w:tr>
      <w:tr w:rsidR="00A51996" w:rsidRPr="00F1381F" w14:paraId="1ECE7CF0"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2178D5C3" w14:textId="77777777" w:rsidR="00A51996" w:rsidRPr="00F1381F" w:rsidRDefault="00A51996" w:rsidP="00A51996">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Los Angeles CCD</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33AD65AB" w14:textId="53F2A690" w:rsidR="00A51996" w:rsidRPr="00F1381F" w:rsidRDefault="00A51996" w:rsidP="00A51996">
            <w:pPr>
              <w:rPr>
                <w:rFonts w:ascii="Calibri" w:eastAsia="Times New Roman" w:hAnsi="Calibri" w:cs="Calibri"/>
                <w:kern w:val="0"/>
                <w:szCs w:val="24"/>
                <w14:ligatures w14:val="none"/>
              </w:rPr>
            </w:pPr>
            <w:r>
              <w:rPr>
                <w:color w:val="000000"/>
                <w:sz w:val="22"/>
              </w:rPr>
              <w:t>Angela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1E222412" w14:textId="1EECD2C8" w:rsidR="00A51996" w:rsidRPr="00F1381F" w:rsidRDefault="00A51996" w:rsidP="00A51996">
            <w:pPr>
              <w:rPr>
                <w:rFonts w:ascii="Calibri" w:eastAsia="Times New Roman" w:hAnsi="Calibri" w:cs="Calibri"/>
                <w:kern w:val="0"/>
                <w:szCs w:val="24"/>
                <w14:ligatures w14:val="none"/>
              </w:rPr>
            </w:pPr>
            <w:r>
              <w:rPr>
                <w:color w:val="000000"/>
                <w:sz w:val="22"/>
              </w:rPr>
              <w:t>Echeverri</w:t>
            </w:r>
          </w:p>
        </w:tc>
      </w:tr>
      <w:tr w:rsidR="00A51996" w:rsidRPr="00F1381F" w14:paraId="7EFE575A"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729BD814" w14:textId="77777777" w:rsidR="00A51996" w:rsidRPr="00F1381F" w:rsidRDefault="00A51996" w:rsidP="00A51996">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Los Angeles City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5FBD6FC0" w14:textId="7E5F0EC8" w:rsidR="00A51996" w:rsidRPr="00F1381F" w:rsidRDefault="00A51996" w:rsidP="00A51996">
            <w:pPr>
              <w:rPr>
                <w:rFonts w:ascii="Calibri" w:eastAsia="Times New Roman" w:hAnsi="Calibri" w:cs="Calibri"/>
                <w:kern w:val="0"/>
                <w:szCs w:val="24"/>
                <w14:ligatures w14:val="none"/>
              </w:rPr>
            </w:pPr>
            <w:r>
              <w:rPr>
                <w:color w:val="000000"/>
                <w:sz w:val="22"/>
              </w:rPr>
              <w:t xml:space="preserve">Anna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0174F597" w14:textId="1FC6FD7A" w:rsidR="00A51996" w:rsidRPr="00F1381F" w:rsidRDefault="00A51996" w:rsidP="00A51996">
            <w:pPr>
              <w:rPr>
                <w:rFonts w:ascii="Calibri" w:eastAsia="Times New Roman" w:hAnsi="Calibri" w:cs="Calibri"/>
                <w:kern w:val="0"/>
                <w:szCs w:val="24"/>
                <w14:ligatures w14:val="none"/>
              </w:rPr>
            </w:pPr>
            <w:r>
              <w:rPr>
                <w:color w:val="000000"/>
                <w:sz w:val="22"/>
              </w:rPr>
              <w:t xml:space="preserve">Le </w:t>
            </w:r>
          </w:p>
        </w:tc>
      </w:tr>
      <w:tr w:rsidR="00315F5C" w:rsidRPr="00F1381F" w14:paraId="72C53CA9"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5CD02513" w14:textId="18151C3E" w:rsidR="00315F5C" w:rsidRPr="00F1381F" w:rsidRDefault="00315F5C" w:rsidP="00315F5C">
            <w:pPr>
              <w:rPr>
                <w:rFonts w:ascii="Calibri" w:eastAsia="Times New Roman" w:hAnsi="Calibri" w:cs="Calibri"/>
                <w:kern w:val="0"/>
                <w:szCs w:val="24"/>
                <w14:ligatures w14:val="none"/>
              </w:rPr>
            </w:pPr>
            <w:r>
              <w:rPr>
                <w:rFonts w:ascii="Calibri" w:eastAsia="Times New Roman" w:hAnsi="Calibri" w:cs="Calibri"/>
                <w:kern w:val="0"/>
                <w:szCs w:val="24"/>
                <w14:ligatures w14:val="none"/>
              </w:rPr>
              <w:t>Los Angeles Harbor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382B2145" w14:textId="383D4966" w:rsidR="00315F5C" w:rsidRDefault="00315F5C" w:rsidP="00315F5C">
            <w:pPr>
              <w:rPr>
                <w:color w:val="000000"/>
                <w:sz w:val="22"/>
              </w:rPr>
            </w:pPr>
            <w:r>
              <w:rPr>
                <w:sz w:val="20"/>
                <w:szCs w:val="20"/>
              </w:rPr>
              <w:t>Adrienne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69A825F6" w14:textId="22358FEB" w:rsidR="00315F5C" w:rsidRDefault="00315F5C" w:rsidP="00315F5C">
            <w:pPr>
              <w:rPr>
                <w:color w:val="000000"/>
                <w:sz w:val="22"/>
              </w:rPr>
            </w:pPr>
            <w:r>
              <w:rPr>
                <w:sz w:val="20"/>
                <w:szCs w:val="20"/>
              </w:rPr>
              <w:t>Brown</w:t>
            </w:r>
          </w:p>
        </w:tc>
      </w:tr>
      <w:tr w:rsidR="00315F5C" w:rsidRPr="00F1381F" w14:paraId="6708DFFA"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7E6A0C0F" w14:textId="77777777" w:rsidR="00315F5C" w:rsidRPr="00F1381F" w:rsidRDefault="00315F5C" w:rsidP="00315F5C">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Los Angeles Mission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455D8446" w14:textId="7BDEF73F" w:rsidR="00315F5C" w:rsidRPr="00F1381F" w:rsidRDefault="00315F5C" w:rsidP="00315F5C">
            <w:pPr>
              <w:rPr>
                <w:rFonts w:ascii="Calibri" w:eastAsia="Times New Roman" w:hAnsi="Calibri" w:cs="Calibri"/>
                <w:kern w:val="0"/>
                <w:szCs w:val="24"/>
                <w14:ligatures w14:val="none"/>
              </w:rPr>
            </w:pPr>
            <w:r>
              <w:rPr>
                <w:color w:val="000000"/>
                <w:sz w:val="22"/>
              </w:rPr>
              <w:t>Maryanne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2FA84FC4" w14:textId="33C013AA" w:rsidR="00315F5C" w:rsidRPr="00F1381F" w:rsidRDefault="00315F5C" w:rsidP="00315F5C">
            <w:pPr>
              <w:rPr>
                <w:rFonts w:ascii="Calibri" w:eastAsia="Times New Roman" w:hAnsi="Calibri" w:cs="Calibri"/>
                <w:kern w:val="0"/>
                <w:szCs w:val="24"/>
                <w14:ligatures w14:val="none"/>
              </w:rPr>
            </w:pPr>
            <w:r>
              <w:rPr>
                <w:color w:val="000000"/>
                <w:sz w:val="22"/>
              </w:rPr>
              <w:t xml:space="preserve">Galindo </w:t>
            </w:r>
          </w:p>
        </w:tc>
      </w:tr>
      <w:tr w:rsidR="00315F5C" w:rsidRPr="00F1381F" w14:paraId="394DFE45"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5A85687D" w14:textId="77777777" w:rsidR="00315F5C" w:rsidRPr="00F1381F" w:rsidRDefault="00315F5C" w:rsidP="00315F5C">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Los Angeles Pierce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4B06681D" w14:textId="6ABF2A43" w:rsidR="00315F5C" w:rsidRPr="00F1381F" w:rsidRDefault="00315F5C" w:rsidP="00315F5C">
            <w:pPr>
              <w:rPr>
                <w:rFonts w:ascii="Calibri" w:eastAsia="Times New Roman" w:hAnsi="Calibri" w:cs="Calibri"/>
                <w:kern w:val="0"/>
                <w:szCs w:val="24"/>
                <w14:ligatures w14:val="none"/>
              </w:rPr>
            </w:pPr>
            <w:r>
              <w:rPr>
                <w:color w:val="000000"/>
                <w:sz w:val="22"/>
              </w:rPr>
              <w:t xml:space="preserve">Margarita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4FD4FF2B" w14:textId="42C52D72" w:rsidR="00315F5C" w:rsidRPr="00F1381F" w:rsidRDefault="00315F5C" w:rsidP="00315F5C">
            <w:pPr>
              <w:rPr>
                <w:rFonts w:ascii="Calibri" w:eastAsia="Times New Roman" w:hAnsi="Calibri" w:cs="Calibri"/>
                <w:kern w:val="0"/>
                <w:szCs w:val="24"/>
                <w14:ligatures w14:val="none"/>
              </w:rPr>
            </w:pPr>
            <w:r>
              <w:rPr>
                <w:color w:val="000000"/>
                <w:sz w:val="22"/>
              </w:rPr>
              <w:t>Pillado</w:t>
            </w:r>
          </w:p>
        </w:tc>
      </w:tr>
      <w:tr w:rsidR="00315F5C" w:rsidRPr="00F1381F" w14:paraId="5437085A"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00207B41" w14:textId="77777777" w:rsidR="00315F5C" w:rsidRPr="00F1381F" w:rsidRDefault="00315F5C" w:rsidP="00315F5C">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Los Angeles Southwest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79252C73" w14:textId="216D57D7" w:rsidR="00315F5C" w:rsidRPr="00F1381F" w:rsidRDefault="00315F5C" w:rsidP="00315F5C">
            <w:pPr>
              <w:rPr>
                <w:rFonts w:ascii="Calibri" w:eastAsia="Times New Roman" w:hAnsi="Calibri" w:cs="Calibri"/>
                <w:kern w:val="0"/>
                <w:szCs w:val="24"/>
                <w14:ligatures w14:val="none"/>
              </w:rPr>
            </w:pPr>
            <w:r>
              <w:rPr>
                <w:color w:val="000000"/>
                <w:sz w:val="22"/>
              </w:rPr>
              <w:t>Erum</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22272EB1" w14:textId="7ACF9C62" w:rsidR="00315F5C" w:rsidRPr="00F1381F" w:rsidRDefault="00315F5C" w:rsidP="00315F5C">
            <w:pPr>
              <w:rPr>
                <w:rFonts w:ascii="Calibri" w:eastAsia="Times New Roman" w:hAnsi="Calibri" w:cs="Calibri"/>
                <w:kern w:val="0"/>
                <w:szCs w:val="24"/>
                <w14:ligatures w14:val="none"/>
              </w:rPr>
            </w:pPr>
            <w:r>
              <w:rPr>
                <w:color w:val="000000"/>
                <w:sz w:val="22"/>
              </w:rPr>
              <w:t>Syed</w:t>
            </w:r>
          </w:p>
        </w:tc>
      </w:tr>
      <w:tr w:rsidR="00315F5C" w:rsidRPr="00F1381F" w14:paraId="7E1B1231"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5E484C8B" w14:textId="77777777" w:rsidR="00315F5C" w:rsidRPr="00F1381F" w:rsidRDefault="00315F5C" w:rsidP="00315F5C">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Los Angeles Trade Tech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16AD6743" w14:textId="09AF4E2C" w:rsidR="00315F5C" w:rsidRPr="00F1381F" w:rsidRDefault="00315F5C" w:rsidP="00315F5C">
            <w:pPr>
              <w:rPr>
                <w:rFonts w:ascii="Calibri" w:eastAsia="Times New Roman" w:hAnsi="Calibri" w:cs="Calibri"/>
                <w:kern w:val="0"/>
                <w:szCs w:val="24"/>
                <w14:ligatures w14:val="none"/>
              </w:rPr>
            </w:pPr>
            <w:r>
              <w:rPr>
                <w:color w:val="000000"/>
                <w:sz w:val="22"/>
              </w:rPr>
              <w:t>Marvin</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155F24FF" w14:textId="2556971F" w:rsidR="00315F5C" w:rsidRPr="00F1381F" w:rsidRDefault="00315F5C" w:rsidP="00315F5C">
            <w:pPr>
              <w:rPr>
                <w:rFonts w:ascii="Calibri" w:eastAsia="Times New Roman" w:hAnsi="Calibri" w:cs="Calibri"/>
                <w:kern w:val="0"/>
                <w:szCs w:val="24"/>
                <w14:ligatures w14:val="none"/>
              </w:rPr>
            </w:pPr>
            <w:r>
              <w:rPr>
                <w:color w:val="000000"/>
                <w:sz w:val="22"/>
              </w:rPr>
              <w:t>Da Costa</w:t>
            </w:r>
          </w:p>
        </w:tc>
      </w:tr>
      <w:tr w:rsidR="00315F5C" w:rsidRPr="00F1381F" w14:paraId="47AC99EB"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6F95CD8C" w14:textId="77777777" w:rsidR="00315F5C" w:rsidRPr="00F1381F" w:rsidRDefault="00315F5C" w:rsidP="00315F5C">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Los Angeles Valley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60FB557D" w14:textId="05F04F64" w:rsidR="00315F5C" w:rsidRPr="00F1381F" w:rsidRDefault="00315F5C" w:rsidP="00315F5C">
            <w:pPr>
              <w:rPr>
                <w:rFonts w:ascii="Calibri" w:eastAsia="Times New Roman" w:hAnsi="Calibri" w:cs="Calibri"/>
                <w:kern w:val="0"/>
                <w:szCs w:val="24"/>
                <w14:ligatures w14:val="none"/>
              </w:rPr>
            </w:pPr>
            <w:r>
              <w:rPr>
                <w:color w:val="000000"/>
                <w:sz w:val="22"/>
              </w:rPr>
              <w:t>Edgar</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250B9054" w14:textId="6F225B9C" w:rsidR="00315F5C" w:rsidRPr="00F1381F" w:rsidRDefault="00315F5C" w:rsidP="00315F5C">
            <w:pPr>
              <w:rPr>
                <w:rFonts w:ascii="Calibri" w:eastAsia="Times New Roman" w:hAnsi="Calibri" w:cs="Calibri"/>
                <w:kern w:val="0"/>
                <w:szCs w:val="24"/>
                <w14:ligatures w14:val="none"/>
              </w:rPr>
            </w:pPr>
            <w:r>
              <w:rPr>
                <w:color w:val="000000"/>
                <w:sz w:val="22"/>
              </w:rPr>
              <w:t>Perez</w:t>
            </w:r>
          </w:p>
        </w:tc>
      </w:tr>
      <w:tr w:rsidR="00315F5C" w:rsidRPr="00F1381F" w14:paraId="1E5261C6"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43999713" w14:textId="77777777" w:rsidR="00315F5C" w:rsidRPr="00F1381F" w:rsidRDefault="00315F5C" w:rsidP="00315F5C">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 xml:space="preserve">Los </w:t>
            </w:r>
            <w:proofErr w:type="spellStart"/>
            <w:r w:rsidRPr="00F1381F">
              <w:rPr>
                <w:rFonts w:ascii="Calibri" w:eastAsia="Times New Roman" w:hAnsi="Calibri" w:cs="Calibri"/>
                <w:kern w:val="0"/>
                <w:szCs w:val="24"/>
                <w14:ligatures w14:val="none"/>
              </w:rPr>
              <w:t>Medanos</w:t>
            </w:r>
            <w:proofErr w:type="spellEnd"/>
            <w:r w:rsidRPr="00F1381F">
              <w:rPr>
                <w:rFonts w:ascii="Calibri" w:eastAsia="Times New Roman" w:hAnsi="Calibri" w:cs="Calibri"/>
                <w:kern w:val="0"/>
                <w:szCs w:val="24"/>
                <w14:ligatures w14:val="none"/>
              </w:rPr>
              <w:t xml:space="preserve">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76459169" w14:textId="142156ED" w:rsidR="00315F5C" w:rsidRPr="00F1381F" w:rsidRDefault="00315F5C" w:rsidP="00315F5C">
            <w:pPr>
              <w:rPr>
                <w:rFonts w:ascii="Calibri" w:eastAsia="Times New Roman" w:hAnsi="Calibri" w:cs="Calibri"/>
                <w:kern w:val="0"/>
                <w:szCs w:val="24"/>
                <w14:ligatures w14:val="none"/>
              </w:rPr>
            </w:pPr>
            <w:r>
              <w:rPr>
                <w:color w:val="000000"/>
                <w:sz w:val="22"/>
              </w:rPr>
              <w:t>Louie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65E85D5B" w14:textId="5E108143" w:rsidR="00315F5C" w:rsidRPr="00F1381F" w:rsidRDefault="00315F5C" w:rsidP="00315F5C">
            <w:pPr>
              <w:rPr>
                <w:rFonts w:ascii="Calibri" w:eastAsia="Times New Roman" w:hAnsi="Calibri" w:cs="Calibri"/>
                <w:kern w:val="0"/>
                <w:szCs w:val="24"/>
                <w14:ligatures w14:val="none"/>
              </w:rPr>
            </w:pPr>
            <w:r>
              <w:rPr>
                <w:color w:val="000000"/>
                <w:sz w:val="22"/>
              </w:rPr>
              <w:t>Giambattista</w:t>
            </w:r>
          </w:p>
        </w:tc>
      </w:tr>
      <w:tr w:rsidR="00315F5C" w:rsidRPr="00F1381F" w14:paraId="5D17DEBC"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597DAA1E" w14:textId="77777777" w:rsidR="00315F5C" w:rsidRPr="00F1381F" w:rsidRDefault="00315F5C" w:rsidP="00315F5C">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Los Rios CCD</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44F41BC9" w14:textId="3A3BC5E6" w:rsidR="00315F5C" w:rsidRPr="00F1381F" w:rsidRDefault="00315F5C" w:rsidP="00315F5C">
            <w:pPr>
              <w:rPr>
                <w:rFonts w:ascii="Calibri" w:eastAsia="Times New Roman" w:hAnsi="Calibri" w:cs="Calibri"/>
                <w:kern w:val="0"/>
                <w:szCs w:val="24"/>
                <w14:ligatures w14:val="none"/>
              </w:rPr>
            </w:pPr>
            <w:r>
              <w:rPr>
                <w:color w:val="000000"/>
                <w:sz w:val="22"/>
              </w:rPr>
              <w:t>Paula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63DAD485" w14:textId="2223EB3D" w:rsidR="00315F5C" w:rsidRPr="00F1381F" w:rsidRDefault="00315F5C" w:rsidP="00315F5C">
            <w:pPr>
              <w:rPr>
                <w:rFonts w:ascii="Calibri" w:eastAsia="Times New Roman" w:hAnsi="Calibri" w:cs="Calibri"/>
                <w:kern w:val="0"/>
                <w:szCs w:val="24"/>
                <w14:ligatures w14:val="none"/>
              </w:rPr>
            </w:pPr>
            <w:r>
              <w:rPr>
                <w:color w:val="000000"/>
                <w:sz w:val="22"/>
              </w:rPr>
              <w:t>Cardwell</w:t>
            </w:r>
          </w:p>
        </w:tc>
      </w:tr>
      <w:tr w:rsidR="00315F5C" w:rsidRPr="00F1381F" w14:paraId="78B996CF"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77C8CC21" w14:textId="77777777" w:rsidR="00315F5C" w:rsidRPr="00F1381F" w:rsidRDefault="00315F5C" w:rsidP="00315F5C">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Madera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6D4BF529" w14:textId="5D0F0F46" w:rsidR="00315F5C" w:rsidRPr="00F1381F" w:rsidRDefault="00315F5C" w:rsidP="00315F5C">
            <w:pPr>
              <w:rPr>
                <w:rFonts w:ascii="Calibri" w:eastAsia="Times New Roman" w:hAnsi="Calibri" w:cs="Calibri"/>
                <w:kern w:val="0"/>
                <w:szCs w:val="24"/>
                <w14:ligatures w14:val="none"/>
              </w:rPr>
            </w:pP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16092ABF" w14:textId="3A0E98F7" w:rsidR="00315F5C" w:rsidRPr="00F1381F" w:rsidRDefault="00315F5C" w:rsidP="00315F5C">
            <w:pPr>
              <w:rPr>
                <w:rFonts w:ascii="Calibri" w:eastAsia="Times New Roman" w:hAnsi="Calibri" w:cs="Calibri"/>
                <w:kern w:val="0"/>
                <w:szCs w:val="24"/>
                <w14:ligatures w14:val="none"/>
              </w:rPr>
            </w:pPr>
          </w:p>
        </w:tc>
      </w:tr>
      <w:tr w:rsidR="00C813CE" w:rsidRPr="00F1381F" w14:paraId="4931B8B8"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02DB7099" w14:textId="77777777" w:rsidR="00C813CE" w:rsidRPr="00F1381F" w:rsidRDefault="00C813CE" w:rsidP="00C813CE">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Mendocino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377B588D" w14:textId="2ACDC72C" w:rsidR="00C813CE" w:rsidRPr="00F1381F" w:rsidRDefault="00C813CE" w:rsidP="00C813CE">
            <w:pPr>
              <w:rPr>
                <w:rFonts w:ascii="Calibri" w:eastAsia="Times New Roman" w:hAnsi="Calibri" w:cs="Calibri"/>
                <w:kern w:val="0"/>
                <w:szCs w:val="24"/>
                <w14:ligatures w14:val="none"/>
              </w:rPr>
            </w:pPr>
            <w:r>
              <w:rPr>
                <w:color w:val="000000"/>
                <w:sz w:val="22"/>
              </w:rPr>
              <w:t xml:space="preserve">Nicholas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1200F132" w14:textId="335EA140" w:rsidR="00C813CE" w:rsidRPr="00F1381F" w:rsidRDefault="00C813CE" w:rsidP="00C813CE">
            <w:pPr>
              <w:rPr>
                <w:rFonts w:ascii="Calibri" w:eastAsia="Times New Roman" w:hAnsi="Calibri" w:cs="Calibri"/>
                <w:kern w:val="0"/>
                <w:szCs w:val="24"/>
                <w14:ligatures w14:val="none"/>
              </w:rPr>
            </w:pPr>
            <w:r>
              <w:rPr>
                <w:color w:val="000000"/>
                <w:sz w:val="22"/>
              </w:rPr>
              <w:t>Petti</w:t>
            </w:r>
          </w:p>
        </w:tc>
      </w:tr>
      <w:tr w:rsidR="00C813CE" w:rsidRPr="00F1381F" w14:paraId="60827883"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13885578" w14:textId="77777777" w:rsidR="00C813CE" w:rsidRPr="00F1381F" w:rsidRDefault="00C813CE" w:rsidP="00C813CE">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Merced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7043A246" w14:textId="505CEBEA" w:rsidR="00C813CE" w:rsidRPr="00F1381F" w:rsidRDefault="00C813CE" w:rsidP="00C813CE">
            <w:pPr>
              <w:rPr>
                <w:rFonts w:ascii="Calibri" w:eastAsia="Times New Roman" w:hAnsi="Calibri" w:cs="Calibri"/>
                <w:kern w:val="0"/>
                <w:szCs w:val="24"/>
                <w14:ligatures w14:val="none"/>
              </w:rPr>
            </w:pPr>
            <w:r>
              <w:rPr>
                <w:color w:val="000000"/>
                <w:sz w:val="22"/>
              </w:rPr>
              <w:t>Wanda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6DB554C8" w14:textId="17D35DC8" w:rsidR="00C813CE" w:rsidRPr="00F1381F" w:rsidRDefault="00C813CE" w:rsidP="00C813CE">
            <w:pPr>
              <w:rPr>
                <w:rFonts w:ascii="Calibri" w:eastAsia="Times New Roman" w:hAnsi="Calibri" w:cs="Calibri"/>
                <w:kern w:val="0"/>
                <w:szCs w:val="24"/>
                <w14:ligatures w14:val="none"/>
              </w:rPr>
            </w:pPr>
            <w:r>
              <w:rPr>
                <w:color w:val="000000"/>
                <w:sz w:val="22"/>
              </w:rPr>
              <w:t>Schindler</w:t>
            </w:r>
          </w:p>
        </w:tc>
      </w:tr>
      <w:tr w:rsidR="00C813CE" w:rsidRPr="00F1381F" w14:paraId="1774471C"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08561D2C" w14:textId="77777777" w:rsidR="00C813CE" w:rsidRPr="00F1381F" w:rsidRDefault="00C813CE" w:rsidP="00C813CE">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Merritt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6AA9E3D1" w14:textId="22C1791B" w:rsidR="00C813CE" w:rsidRPr="00F1381F" w:rsidRDefault="00C813CE" w:rsidP="00C813CE">
            <w:pPr>
              <w:rPr>
                <w:rFonts w:ascii="Calibri" w:eastAsia="Times New Roman" w:hAnsi="Calibri" w:cs="Calibri"/>
                <w:kern w:val="0"/>
                <w:szCs w:val="24"/>
                <w14:ligatures w14:val="none"/>
              </w:rPr>
            </w:pPr>
            <w:r>
              <w:rPr>
                <w:color w:val="000000"/>
                <w:sz w:val="22"/>
              </w:rPr>
              <w:t>Tom</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1295CA08" w14:textId="734FC42B" w:rsidR="00C813CE" w:rsidRPr="00F1381F" w:rsidRDefault="00C813CE" w:rsidP="00C813CE">
            <w:pPr>
              <w:rPr>
                <w:rFonts w:ascii="Calibri" w:eastAsia="Times New Roman" w:hAnsi="Calibri" w:cs="Calibri"/>
                <w:kern w:val="0"/>
                <w:szCs w:val="24"/>
                <w14:ligatures w14:val="none"/>
              </w:rPr>
            </w:pPr>
            <w:r>
              <w:rPr>
                <w:color w:val="000000"/>
                <w:sz w:val="22"/>
              </w:rPr>
              <w:t xml:space="preserve">Renbarger </w:t>
            </w:r>
          </w:p>
        </w:tc>
      </w:tr>
      <w:tr w:rsidR="00C813CE" w:rsidRPr="00F1381F" w14:paraId="0BF48770"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62D8CB78" w14:textId="77777777" w:rsidR="00C813CE" w:rsidRPr="00F1381F" w:rsidRDefault="00C813CE" w:rsidP="00C813CE">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MiraCosta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3202B3AE" w14:textId="56258AC6" w:rsidR="00C813CE" w:rsidRPr="00F1381F" w:rsidRDefault="00C813CE" w:rsidP="00C813CE">
            <w:pPr>
              <w:rPr>
                <w:rFonts w:ascii="Calibri" w:eastAsia="Times New Roman" w:hAnsi="Calibri" w:cs="Calibri"/>
                <w:kern w:val="0"/>
                <w:szCs w:val="24"/>
                <w14:ligatures w14:val="none"/>
              </w:rPr>
            </w:pPr>
            <w:r>
              <w:rPr>
                <w:color w:val="000000"/>
                <w:sz w:val="22"/>
              </w:rPr>
              <w:t>Curry</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2CB3E212" w14:textId="7949B028" w:rsidR="00C813CE" w:rsidRPr="00F1381F" w:rsidRDefault="00C813CE" w:rsidP="00C813CE">
            <w:pPr>
              <w:rPr>
                <w:rFonts w:ascii="Calibri" w:eastAsia="Times New Roman" w:hAnsi="Calibri" w:cs="Calibri"/>
                <w:kern w:val="0"/>
                <w:szCs w:val="24"/>
                <w14:ligatures w14:val="none"/>
              </w:rPr>
            </w:pPr>
            <w:r>
              <w:rPr>
                <w:color w:val="000000"/>
                <w:sz w:val="22"/>
              </w:rPr>
              <w:t xml:space="preserve">Mitchell </w:t>
            </w:r>
          </w:p>
        </w:tc>
      </w:tr>
      <w:tr w:rsidR="00C813CE" w:rsidRPr="00F1381F" w14:paraId="3525B792"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3EFC7E52" w14:textId="77777777" w:rsidR="00C813CE" w:rsidRPr="00F1381F" w:rsidRDefault="00C813CE" w:rsidP="00C813CE">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Mission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7786F730" w14:textId="1AF7F3C2" w:rsidR="00C813CE" w:rsidRPr="00F1381F" w:rsidRDefault="00C813CE" w:rsidP="00C813CE">
            <w:pPr>
              <w:rPr>
                <w:rFonts w:ascii="Calibri" w:eastAsia="Times New Roman" w:hAnsi="Calibri" w:cs="Calibri"/>
                <w:kern w:val="0"/>
                <w:szCs w:val="24"/>
                <w14:ligatures w14:val="none"/>
              </w:rPr>
            </w:pPr>
            <w:r>
              <w:rPr>
                <w:color w:val="000000"/>
                <w:sz w:val="22"/>
              </w:rPr>
              <w:t>Joanna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0FC5DFC1" w14:textId="354F0B74" w:rsidR="00C813CE" w:rsidRPr="00F1381F" w:rsidRDefault="00C813CE" w:rsidP="00C813CE">
            <w:pPr>
              <w:rPr>
                <w:rFonts w:ascii="Calibri" w:eastAsia="Times New Roman" w:hAnsi="Calibri" w:cs="Calibri"/>
                <w:kern w:val="0"/>
                <w:szCs w:val="24"/>
                <w14:ligatures w14:val="none"/>
              </w:rPr>
            </w:pPr>
            <w:proofErr w:type="spellStart"/>
            <w:r>
              <w:rPr>
                <w:color w:val="000000"/>
                <w:sz w:val="22"/>
              </w:rPr>
              <w:t>Sobala</w:t>
            </w:r>
            <w:proofErr w:type="spellEnd"/>
          </w:p>
        </w:tc>
      </w:tr>
      <w:tr w:rsidR="00C813CE" w:rsidRPr="00F1381F" w14:paraId="2EC4734C"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03002852" w14:textId="77777777" w:rsidR="00C813CE" w:rsidRPr="00F1381F" w:rsidRDefault="00C813CE" w:rsidP="00C813CE">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Modesto Junior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381781D2" w14:textId="347740E6" w:rsidR="00C813CE" w:rsidRPr="00F1381F" w:rsidRDefault="00C813CE" w:rsidP="00C813CE">
            <w:pPr>
              <w:rPr>
                <w:rFonts w:ascii="Calibri" w:eastAsia="Times New Roman" w:hAnsi="Calibri" w:cs="Calibri"/>
                <w:kern w:val="0"/>
                <w:szCs w:val="24"/>
                <w14:ligatures w14:val="none"/>
              </w:rPr>
            </w:pPr>
            <w:r>
              <w:rPr>
                <w:color w:val="000000"/>
                <w:sz w:val="22"/>
              </w:rPr>
              <w:t>Gisele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78DC1953" w14:textId="5E0196A3" w:rsidR="00C813CE" w:rsidRPr="00F1381F" w:rsidRDefault="00C813CE" w:rsidP="00C813CE">
            <w:pPr>
              <w:rPr>
                <w:rFonts w:ascii="Calibri" w:eastAsia="Times New Roman" w:hAnsi="Calibri" w:cs="Calibri"/>
                <w:kern w:val="0"/>
                <w:szCs w:val="24"/>
                <w14:ligatures w14:val="none"/>
              </w:rPr>
            </w:pPr>
            <w:r>
              <w:rPr>
                <w:color w:val="000000"/>
                <w:sz w:val="22"/>
              </w:rPr>
              <w:t xml:space="preserve">Flores </w:t>
            </w:r>
          </w:p>
        </w:tc>
      </w:tr>
      <w:tr w:rsidR="00C813CE" w:rsidRPr="00F1381F" w14:paraId="0A7AAB79"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4188050C" w14:textId="77777777" w:rsidR="00C813CE" w:rsidRPr="00F1381F" w:rsidRDefault="00C813CE" w:rsidP="00C813CE">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Monterey Peninsula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1A36806B" w14:textId="7DFCD84F" w:rsidR="00C813CE" w:rsidRPr="00F1381F" w:rsidRDefault="00C813CE" w:rsidP="00C813CE">
            <w:pPr>
              <w:rPr>
                <w:rFonts w:ascii="Calibri" w:eastAsia="Times New Roman" w:hAnsi="Calibri" w:cs="Calibri"/>
                <w:kern w:val="0"/>
                <w:szCs w:val="24"/>
                <w14:ligatures w14:val="none"/>
              </w:rPr>
            </w:pPr>
            <w:r>
              <w:rPr>
                <w:color w:val="000000"/>
                <w:sz w:val="22"/>
              </w:rPr>
              <w:t xml:space="preserve">Adria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37E9414B" w14:textId="68033A85" w:rsidR="00C813CE" w:rsidRPr="00F1381F" w:rsidRDefault="00C813CE" w:rsidP="00C813CE">
            <w:pPr>
              <w:rPr>
                <w:rFonts w:ascii="Calibri" w:eastAsia="Times New Roman" w:hAnsi="Calibri" w:cs="Calibri"/>
                <w:kern w:val="0"/>
                <w:szCs w:val="24"/>
                <w14:ligatures w14:val="none"/>
              </w:rPr>
            </w:pPr>
            <w:r>
              <w:rPr>
                <w:color w:val="000000"/>
                <w:sz w:val="22"/>
              </w:rPr>
              <w:t xml:space="preserve">Gerard </w:t>
            </w:r>
          </w:p>
        </w:tc>
      </w:tr>
      <w:tr w:rsidR="00C813CE" w:rsidRPr="00F1381F" w14:paraId="30756F3A"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1F10F08A" w14:textId="77777777" w:rsidR="00C813CE" w:rsidRPr="00F1381F" w:rsidRDefault="00C813CE" w:rsidP="00C813CE">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Moorpark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67E89EB8" w14:textId="5EE8E8D7" w:rsidR="00C813CE" w:rsidRPr="00F1381F" w:rsidRDefault="00C813CE" w:rsidP="00C813CE">
            <w:pPr>
              <w:rPr>
                <w:rFonts w:ascii="Calibri" w:eastAsia="Times New Roman" w:hAnsi="Calibri" w:cs="Calibri"/>
                <w:kern w:val="0"/>
                <w:szCs w:val="24"/>
                <w14:ligatures w14:val="none"/>
              </w:rPr>
            </w:pPr>
            <w:r>
              <w:rPr>
                <w:color w:val="000000"/>
                <w:sz w:val="22"/>
              </w:rPr>
              <w:t>Nicole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621DE8B6" w14:textId="283968DB" w:rsidR="00C813CE" w:rsidRPr="00F1381F" w:rsidRDefault="00C813CE" w:rsidP="00C813CE">
            <w:pPr>
              <w:rPr>
                <w:rFonts w:ascii="Calibri" w:eastAsia="Times New Roman" w:hAnsi="Calibri" w:cs="Calibri"/>
                <w:kern w:val="0"/>
                <w:szCs w:val="24"/>
                <w14:ligatures w14:val="none"/>
              </w:rPr>
            </w:pPr>
            <w:r>
              <w:rPr>
                <w:color w:val="000000"/>
                <w:sz w:val="22"/>
              </w:rPr>
              <w:t>Block</w:t>
            </w:r>
          </w:p>
        </w:tc>
      </w:tr>
      <w:tr w:rsidR="00C813CE" w:rsidRPr="00F1381F" w14:paraId="61135B82"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2438C722" w14:textId="77777777" w:rsidR="00C813CE" w:rsidRPr="00F1381F" w:rsidRDefault="00C813CE" w:rsidP="00C813CE">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Moreno Valley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313C2CA2" w14:textId="3D7870DA" w:rsidR="00C813CE" w:rsidRPr="00F1381F" w:rsidRDefault="00C813CE" w:rsidP="00C813CE">
            <w:pPr>
              <w:rPr>
                <w:rFonts w:ascii="Calibri" w:eastAsia="Times New Roman" w:hAnsi="Calibri" w:cs="Calibri"/>
                <w:kern w:val="0"/>
                <w:szCs w:val="24"/>
                <w14:ligatures w14:val="none"/>
              </w:rPr>
            </w:pPr>
            <w:r>
              <w:rPr>
                <w:color w:val="000000"/>
                <w:sz w:val="22"/>
              </w:rPr>
              <w:t>Esteban</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6C890F0D" w14:textId="508E261F" w:rsidR="00C813CE" w:rsidRPr="00F1381F" w:rsidRDefault="00C813CE" w:rsidP="00C813CE">
            <w:pPr>
              <w:rPr>
                <w:rFonts w:ascii="Calibri" w:eastAsia="Times New Roman" w:hAnsi="Calibri" w:cs="Calibri"/>
                <w:kern w:val="0"/>
                <w:szCs w:val="24"/>
                <w14:ligatures w14:val="none"/>
              </w:rPr>
            </w:pPr>
            <w:r>
              <w:rPr>
                <w:color w:val="000000"/>
                <w:sz w:val="22"/>
              </w:rPr>
              <w:t>Navas</w:t>
            </w:r>
          </w:p>
        </w:tc>
      </w:tr>
      <w:tr w:rsidR="00C813CE" w:rsidRPr="00F1381F" w14:paraId="01F7EFE6"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3EAA78BF" w14:textId="77777777" w:rsidR="00C813CE" w:rsidRPr="00F1381F" w:rsidRDefault="00C813CE" w:rsidP="00C813CE">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lastRenderedPageBreak/>
              <w:t>Mt. San Antonio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2CE70E28" w14:textId="785965AD" w:rsidR="00C813CE" w:rsidRPr="00F1381F" w:rsidRDefault="00C813CE" w:rsidP="00C813CE">
            <w:pPr>
              <w:rPr>
                <w:rFonts w:ascii="Calibri" w:eastAsia="Times New Roman" w:hAnsi="Calibri" w:cs="Calibri"/>
                <w:kern w:val="0"/>
                <w:szCs w:val="24"/>
                <w14:ligatures w14:val="none"/>
              </w:rPr>
            </w:pPr>
            <w:r>
              <w:rPr>
                <w:color w:val="000000"/>
                <w:sz w:val="22"/>
              </w:rPr>
              <w:t xml:space="preserve">Kelly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3716D50C" w14:textId="189E85B3" w:rsidR="00C813CE" w:rsidRPr="00F1381F" w:rsidRDefault="00C813CE" w:rsidP="00C813CE">
            <w:pPr>
              <w:rPr>
                <w:rFonts w:ascii="Calibri" w:eastAsia="Times New Roman" w:hAnsi="Calibri" w:cs="Calibri"/>
                <w:kern w:val="0"/>
                <w:szCs w:val="24"/>
                <w14:ligatures w14:val="none"/>
              </w:rPr>
            </w:pPr>
            <w:r>
              <w:rPr>
                <w:color w:val="000000"/>
                <w:sz w:val="22"/>
              </w:rPr>
              <w:t>Rivera</w:t>
            </w:r>
          </w:p>
        </w:tc>
      </w:tr>
      <w:tr w:rsidR="00C813CE" w:rsidRPr="00F1381F" w14:paraId="44A488E0"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1FBB096C" w14:textId="77777777" w:rsidR="00C813CE" w:rsidRPr="00F1381F" w:rsidRDefault="00C813CE" w:rsidP="00C813CE">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Mt. San Jacinto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656536EC" w14:textId="147BF494" w:rsidR="00C813CE" w:rsidRPr="00F1381F" w:rsidRDefault="00C813CE" w:rsidP="00C813CE">
            <w:pPr>
              <w:rPr>
                <w:rFonts w:ascii="Calibri" w:eastAsia="Times New Roman" w:hAnsi="Calibri" w:cs="Calibri"/>
                <w:kern w:val="0"/>
                <w:szCs w:val="24"/>
                <w14:ligatures w14:val="none"/>
              </w:rPr>
            </w:pPr>
            <w:r>
              <w:rPr>
                <w:color w:val="000000"/>
                <w:sz w:val="22"/>
              </w:rPr>
              <w:t xml:space="preserve">John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76F8DF89" w14:textId="72628F5B" w:rsidR="00C813CE" w:rsidRPr="00F1381F" w:rsidRDefault="00C813CE" w:rsidP="00C813CE">
            <w:pPr>
              <w:rPr>
                <w:rFonts w:ascii="Calibri" w:eastAsia="Times New Roman" w:hAnsi="Calibri" w:cs="Calibri"/>
                <w:kern w:val="0"/>
                <w:szCs w:val="24"/>
                <w14:ligatures w14:val="none"/>
              </w:rPr>
            </w:pPr>
            <w:r>
              <w:rPr>
                <w:color w:val="000000"/>
                <w:sz w:val="22"/>
              </w:rPr>
              <w:t xml:space="preserve">Torres </w:t>
            </w:r>
          </w:p>
        </w:tc>
      </w:tr>
      <w:tr w:rsidR="00C813CE" w:rsidRPr="00F1381F" w14:paraId="5BEE7498"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7723C7D2" w14:textId="77777777" w:rsidR="00C813CE" w:rsidRPr="00F1381F" w:rsidRDefault="00C813CE" w:rsidP="00C813CE">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Napa Valley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32B5CA50" w14:textId="4A227BBC" w:rsidR="00C813CE" w:rsidRPr="00F1381F" w:rsidRDefault="00C813CE" w:rsidP="00C813CE">
            <w:pPr>
              <w:rPr>
                <w:rFonts w:ascii="Calibri" w:eastAsia="Times New Roman" w:hAnsi="Calibri" w:cs="Calibri"/>
                <w:kern w:val="0"/>
                <w:szCs w:val="24"/>
                <w14:ligatures w14:val="none"/>
              </w:rPr>
            </w:pPr>
            <w:r>
              <w:rPr>
                <w:sz w:val="20"/>
                <w:szCs w:val="20"/>
              </w:rPr>
              <w:t xml:space="preserve">Matthew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031F1ED5" w14:textId="27F1C7DF" w:rsidR="00C813CE" w:rsidRPr="00F1381F" w:rsidRDefault="00C813CE" w:rsidP="00C813CE">
            <w:pPr>
              <w:rPr>
                <w:rFonts w:ascii="Calibri" w:eastAsia="Times New Roman" w:hAnsi="Calibri" w:cs="Calibri"/>
                <w:kern w:val="0"/>
                <w:szCs w:val="24"/>
                <w14:ligatures w14:val="none"/>
              </w:rPr>
            </w:pPr>
            <w:r>
              <w:rPr>
                <w:sz w:val="20"/>
                <w:szCs w:val="20"/>
              </w:rPr>
              <w:t xml:space="preserve">Kronzer </w:t>
            </w:r>
          </w:p>
        </w:tc>
      </w:tr>
      <w:tr w:rsidR="00C813CE" w:rsidRPr="00F1381F" w14:paraId="567D4FDA"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65FBD34B" w14:textId="77777777" w:rsidR="00C813CE" w:rsidRPr="00F1381F" w:rsidRDefault="00C813CE" w:rsidP="00C813CE">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Norco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08E5E08E" w14:textId="43A28740" w:rsidR="00C813CE" w:rsidRPr="00F1381F" w:rsidRDefault="001A61A6" w:rsidP="00C813CE">
            <w:pPr>
              <w:rPr>
                <w:rFonts w:ascii="Calibri" w:eastAsia="Times New Roman" w:hAnsi="Calibri" w:cs="Calibri"/>
                <w:kern w:val="0"/>
                <w:szCs w:val="24"/>
                <w14:ligatures w14:val="none"/>
              </w:rPr>
            </w:pPr>
            <w:r>
              <w:rPr>
                <w:rFonts w:ascii="Calibri" w:eastAsia="Times New Roman" w:hAnsi="Calibri" w:cs="Calibri"/>
                <w:kern w:val="0"/>
                <w:szCs w:val="24"/>
                <w14:ligatures w14:val="none"/>
              </w:rPr>
              <w:t>Kimberly</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75E4682C" w14:textId="24FFB7D5" w:rsidR="00C813CE" w:rsidRPr="00F1381F" w:rsidRDefault="001A61A6" w:rsidP="00C813CE">
            <w:pPr>
              <w:rPr>
                <w:rFonts w:ascii="Calibri" w:eastAsia="Times New Roman" w:hAnsi="Calibri" w:cs="Calibri"/>
                <w:kern w:val="0"/>
                <w:szCs w:val="24"/>
                <w14:ligatures w14:val="none"/>
              </w:rPr>
            </w:pPr>
            <w:r>
              <w:rPr>
                <w:rFonts w:ascii="Calibri" w:eastAsia="Times New Roman" w:hAnsi="Calibri" w:cs="Calibri"/>
                <w:kern w:val="0"/>
                <w:szCs w:val="24"/>
                <w14:ligatures w14:val="none"/>
              </w:rPr>
              <w:t>Bell</w:t>
            </w:r>
          </w:p>
        </w:tc>
      </w:tr>
      <w:tr w:rsidR="00BD32DA" w:rsidRPr="00F1381F" w14:paraId="2AB80FA6"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206D3F61" w14:textId="77777777" w:rsidR="00BD32DA" w:rsidRPr="00F1381F" w:rsidRDefault="00BD32DA" w:rsidP="00BD32DA">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North Orange Continuing Education</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1A253645" w14:textId="44BC6BDC" w:rsidR="00BD32DA" w:rsidRPr="00F1381F" w:rsidRDefault="00BD32DA" w:rsidP="00BD32DA">
            <w:pPr>
              <w:rPr>
                <w:rFonts w:ascii="Calibri" w:eastAsia="Times New Roman" w:hAnsi="Calibri" w:cs="Calibri"/>
                <w:kern w:val="0"/>
                <w:szCs w:val="24"/>
                <w14:ligatures w14:val="none"/>
              </w:rPr>
            </w:pPr>
            <w:r>
              <w:rPr>
                <w:color w:val="000000"/>
                <w:sz w:val="22"/>
              </w:rPr>
              <w:t xml:space="preserve">Michelle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209FBA3A" w14:textId="0B82B543" w:rsidR="00BD32DA" w:rsidRPr="00F1381F" w:rsidRDefault="00BD32DA" w:rsidP="00BD32DA">
            <w:pPr>
              <w:rPr>
                <w:rFonts w:ascii="Calibri" w:eastAsia="Times New Roman" w:hAnsi="Calibri" w:cs="Calibri"/>
                <w:kern w:val="0"/>
                <w:szCs w:val="24"/>
                <w14:ligatures w14:val="none"/>
              </w:rPr>
            </w:pPr>
            <w:r>
              <w:rPr>
                <w:color w:val="000000"/>
                <w:sz w:val="22"/>
              </w:rPr>
              <w:t>Patrick-Norng</w:t>
            </w:r>
          </w:p>
        </w:tc>
      </w:tr>
      <w:tr w:rsidR="00BD32DA" w:rsidRPr="00F1381F" w14:paraId="68B0BF9B"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723D1F34" w14:textId="77777777" w:rsidR="00BD32DA" w:rsidRPr="00F1381F" w:rsidRDefault="00BD32DA" w:rsidP="00BD32DA">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Ohlone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2DE30E2B" w14:textId="307072C1" w:rsidR="00BD32DA" w:rsidRPr="00F1381F" w:rsidRDefault="00BD32DA" w:rsidP="00BD32DA">
            <w:pPr>
              <w:rPr>
                <w:rFonts w:ascii="Calibri" w:eastAsia="Times New Roman" w:hAnsi="Calibri" w:cs="Calibri"/>
                <w:kern w:val="0"/>
                <w:szCs w:val="24"/>
                <w14:ligatures w14:val="none"/>
              </w:rPr>
            </w:pPr>
            <w:r>
              <w:rPr>
                <w:color w:val="000000"/>
                <w:sz w:val="22"/>
              </w:rPr>
              <w:t>Katherine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7AA36042" w14:textId="64EF1E6B" w:rsidR="00BD32DA" w:rsidRPr="00F1381F" w:rsidRDefault="00BD32DA" w:rsidP="00BD32DA">
            <w:pPr>
              <w:rPr>
                <w:rFonts w:ascii="Calibri" w:eastAsia="Times New Roman" w:hAnsi="Calibri" w:cs="Calibri"/>
                <w:kern w:val="0"/>
                <w:szCs w:val="24"/>
                <w14:ligatures w14:val="none"/>
              </w:rPr>
            </w:pPr>
            <w:r>
              <w:rPr>
                <w:color w:val="000000"/>
                <w:sz w:val="22"/>
              </w:rPr>
              <w:t xml:space="preserve">Michel </w:t>
            </w:r>
          </w:p>
        </w:tc>
      </w:tr>
      <w:tr w:rsidR="00BD32DA" w:rsidRPr="00F1381F" w14:paraId="16984927"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5FB3926B" w14:textId="77777777" w:rsidR="00BD32DA" w:rsidRPr="00F1381F" w:rsidRDefault="00BD32DA" w:rsidP="00BD32DA">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Orange Coast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07050F68" w14:textId="446ED393" w:rsidR="00BD32DA" w:rsidRPr="00F1381F" w:rsidRDefault="00BD32DA" w:rsidP="00BD32DA">
            <w:pPr>
              <w:rPr>
                <w:rFonts w:ascii="Calibri" w:eastAsia="Times New Roman" w:hAnsi="Calibri" w:cs="Calibri"/>
                <w:kern w:val="0"/>
                <w:szCs w:val="24"/>
                <w14:ligatures w14:val="none"/>
              </w:rPr>
            </w:pPr>
            <w:r>
              <w:rPr>
                <w:color w:val="000000"/>
                <w:sz w:val="22"/>
              </w:rPr>
              <w:t>Rendell</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682CB7E9" w14:textId="6AB78D09" w:rsidR="00BD32DA" w:rsidRPr="00F1381F" w:rsidRDefault="00BD32DA" w:rsidP="00BD32DA">
            <w:pPr>
              <w:rPr>
                <w:rFonts w:ascii="Calibri" w:eastAsia="Times New Roman" w:hAnsi="Calibri" w:cs="Calibri"/>
                <w:kern w:val="0"/>
                <w:szCs w:val="24"/>
                <w14:ligatures w14:val="none"/>
              </w:rPr>
            </w:pPr>
            <w:r>
              <w:rPr>
                <w:color w:val="000000"/>
                <w:sz w:val="22"/>
              </w:rPr>
              <w:t xml:space="preserve">Drew </w:t>
            </w:r>
          </w:p>
        </w:tc>
      </w:tr>
      <w:tr w:rsidR="00BD32DA" w:rsidRPr="00F1381F" w14:paraId="78BD4D45"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6B3B1909" w14:textId="77777777" w:rsidR="00BD32DA" w:rsidRPr="00F1381F" w:rsidRDefault="00BD32DA" w:rsidP="00BD32DA">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Oxnard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553C4D21" w14:textId="1EAA7BEC" w:rsidR="00BD32DA" w:rsidRPr="00F1381F" w:rsidRDefault="00BD32DA" w:rsidP="00BD32DA">
            <w:pPr>
              <w:rPr>
                <w:rFonts w:ascii="Calibri" w:eastAsia="Times New Roman" w:hAnsi="Calibri" w:cs="Calibri"/>
                <w:kern w:val="0"/>
                <w:szCs w:val="24"/>
                <w14:ligatures w14:val="none"/>
              </w:rPr>
            </w:pPr>
            <w:r>
              <w:rPr>
                <w:color w:val="000000"/>
                <w:sz w:val="22"/>
              </w:rPr>
              <w:t>Dolores</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0567C355" w14:textId="0D60C48F" w:rsidR="00BD32DA" w:rsidRPr="00F1381F" w:rsidRDefault="00BD32DA" w:rsidP="00BD32DA">
            <w:pPr>
              <w:rPr>
                <w:rFonts w:ascii="Calibri" w:eastAsia="Times New Roman" w:hAnsi="Calibri" w:cs="Calibri"/>
                <w:kern w:val="0"/>
                <w:szCs w:val="24"/>
                <w14:ligatures w14:val="none"/>
              </w:rPr>
            </w:pPr>
            <w:r>
              <w:rPr>
                <w:color w:val="000000"/>
                <w:sz w:val="22"/>
              </w:rPr>
              <w:t>Ortiz</w:t>
            </w:r>
          </w:p>
        </w:tc>
      </w:tr>
      <w:tr w:rsidR="00BD32DA" w:rsidRPr="00F1381F" w14:paraId="755A0D07"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114A5584" w14:textId="77777777" w:rsidR="00BD32DA" w:rsidRPr="00F1381F" w:rsidRDefault="00BD32DA" w:rsidP="00BD32DA">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Palo Verde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6BBF6FC2" w14:textId="546161CA" w:rsidR="00BD32DA" w:rsidRPr="00F1381F" w:rsidRDefault="00BD32DA" w:rsidP="00BD32DA">
            <w:pPr>
              <w:rPr>
                <w:rFonts w:ascii="Calibri" w:eastAsia="Times New Roman" w:hAnsi="Calibri" w:cs="Calibri"/>
                <w:kern w:val="0"/>
                <w:szCs w:val="24"/>
                <w14:ligatures w14:val="none"/>
              </w:rPr>
            </w:pPr>
            <w:r>
              <w:rPr>
                <w:color w:val="000000"/>
                <w:sz w:val="22"/>
              </w:rPr>
              <w:t>Sarah</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2A2F5845" w14:textId="36F152EE" w:rsidR="00BD32DA" w:rsidRPr="00F1381F" w:rsidRDefault="00BD32DA" w:rsidP="00BD32DA">
            <w:pPr>
              <w:rPr>
                <w:rFonts w:ascii="Calibri" w:eastAsia="Times New Roman" w:hAnsi="Calibri" w:cs="Calibri"/>
                <w:kern w:val="0"/>
                <w:szCs w:val="24"/>
                <w14:ligatures w14:val="none"/>
              </w:rPr>
            </w:pPr>
            <w:r>
              <w:rPr>
                <w:color w:val="000000"/>
                <w:sz w:val="22"/>
              </w:rPr>
              <w:t>Frid</w:t>
            </w:r>
          </w:p>
        </w:tc>
      </w:tr>
      <w:tr w:rsidR="00BD32DA" w:rsidRPr="00F1381F" w14:paraId="4138EA9F"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1AB2CE11" w14:textId="77777777" w:rsidR="00BD32DA" w:rsidRPr="00F1381F" w:rsidRDefault="00BD32DA" w:rsidP="00BD32DA">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Palomar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589813DA" w14:textId="6307586A" w:rsidR="00BD32DA" w:rsidRPr="00F1381F" w:rsidRDefault="00BD32DA" w:rsidP="00BD32DA">
            <w:pPr>
              <w:rPr>
                <w:rFonts w:ascii="Calibri" w:eastAsia="Times New Roman" w:hAnsi="Calibri" w:cs="Calibri"/>
                <w:kern w:val="0"/>
                <w:szCs w:val="24"/>
                <w14:ligatures w14:val="none"/>
              </w:rPr>
            </w:pPr>
            <w:r>
              <w:rPr>
                <w:color w:val="000000"/>
                <w:sz w:val="22"/>
              </w:rPr>
              <w:t>Elizabeth</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5D3E7C71" w14:textId="2BD7C030" w:rsidR="00BD32DA" w:rsidRPr="00F1381F" w:rsidRDefault="00BD32DA" w:rsidP="00BD32DA">
            <w:pPr>
              <w:rPr>
                <w:rFonts w:ascii="Calibri" w:eastAsia="Times New Roman" w:hAnsi="Calibri" w:cs="Calibri"/>
                <w:kern w:val="0"/>
                <w:szCs w:val="24"/>
                <w14:ligatures w14:val="none"/>
              </w:rPr>
            </w:pPr>
            <w:r>
              <w:rPr>
                <w:color w:val="000000"/>
                <w:sz w:val="22"/>
              </w:rPr>
              <w:t>Pearson</w:t>
            </w:r>
          </w:p>
        </w:tc>
      </w:tr>
      <w:tr w:rsidR="00BD32DA" w:rsidRPr="00F1381F" w14:paraId="2E15D1D9"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3F8D9AFF" w14:textId="77777777" w:rsidR="00BD32DA" w:rsidRPr="00F1381F" w:rsidRDefault="00BD32DA" w:rsidP="00BD32DA">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Pasadena City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367FFC2F" w14:textId="0EF4B793" w:rsidR="00BD32DA" w:rsidRPr="00F1381F" w:rsidRDefault="00BD32DA" w:rsidP="00BD32DA">
            <w:pPr>
              <w:rPr>
                <w:rFonts w:ascii="Calibri" w:eastAsia="Times New Roman" w:hAnsi="Calibri" w:cs="Calibri"/>
                <w:kern w:val="0"/>
                <w:szCs w:val="24"/>
                <w14:ligatures w14:val="none"/>
              </w:rPr>
            </w:pPr>
            <w:r>
              <w:rPr>
                <w:color w:val="000000"/>
                <w:sz w:val="22"/>
              </w:rPr>
              <w:t>Carmen</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66FA5EDA" w14:textId="5D33367A" w:rsidR="00BD32DA" w:rsidRPr="00F1381F" w:rsidRDefault="00BD32DA" w:rsidP="00BD32DA">
            <w:pPr>
              <w:rPr>
                <w:rFonts w:ascii="Calibri" w:eastAsia="Times New Roman" w:hAnsi="Calibri" w:cs="Calibri"/>
                <w:kern w:val="0"/>
                <w:szCs w:val="24"/>
                <w14:ligatures w14:val="none"/>
              </w:rPr>
            </w:pPr>
            <w:r>
              <w:rPr>
                <w:color w:val="000000"/>
                <w:sz w:val="22"/>
              </w:rPr>
              <w:t>Stephens</w:t>
            </w:r>
          </w:p>
        </w:tc>
      </w:tr>
      <w:tr w:rsidR="00BD32DA" w:rsidRPr="00F1381F" w14:paraId="1EE95956"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162046F4" w14:textId="77777777" w:rsidR="00BD32DA" w:rsidRPr="00F1381F" w:rsidRDefault="00BD32DA" w:rsidP="00BD32DA">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Peralta CCD</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6F4EBF4D" w14:textId="10BDC961" w:rsidR="00BD32DA" w:rsidRPr="00F1381F" w:rsidRDefault="00BD32DA" w:rsidP="00BD32DA">
            <w:pPr>
              <w:rPr>
                <w:rFonts w:ascii="Calibri" w:eastAsia="Times New Roman" w:hAnsi="Calibri" w:cs="Calibri"/>
                <w:kern w:val="0"/>
                <w:szCs w:val="24"/>
                <w14:ligatures w14:val="none"/>
              </w:rPr>
            </w:pPr>
            <w:r>
              <w:rPr>
                <w:color w:val="000000"/>
                <w:sz w:val="22"/>
              </w:rPr>
              <w:t>Eleni</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3B0DE3CF" w14:textId="5BE346A8" w:rsidR="00BD32DA" w:rsidRPr="00F1381F" w:rsidRDefault="00BD32DA" w:rsidP="00BD32DA">
            <w:pPr>
              <w:rPr>
                <w:rFonts w:ascii="Calibri" w:eastAsia="Times New Roman" w:hAnsi="Calibri" w:cs="Calibri"/>
                <w:kern w:val="0"/>
                <w:szCs w:val="24"/>
                <w14:ligatures w14:val="none"/>
              </w:rPr>
            </w:pPr>
            <w:proofErr w:type="spellStart"/>
            <w:r>
              <w:rPr>
                <w:color w:val="000000"/>
                <w:sz w:val="22"/>
              </w:rPr>
              <w:t>Gastis</w:t>
            </w:r>
            <w:proofErr w:type="spellEnd"/>
          </w:p>
        </w:tc>
      </w:tr>
      <w:tr w:rsidR="00BD32DA" w:rsidRPr="00F1381F" w14:paraId="185976F9"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7915099C" w14:textId="77777777" w:rsidR="00BD32DA" w:rsidRPr="00F1381F" w:rsidRDefault="00BD32DA" w:rsidP="00BD32DA">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Porterville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371EAFEA" w14:textId="391A929E" w:rsidR="00BD32DA" w:rsidRPr="00F1381F" w:rsidRDefault="00BD32DA" w:rsidP="00BD32DA">
            <w:pPr>
              <w:rPr>
                <w:rFonts w:ascii="Calibri" w:eastAsia="Times New Roman" w:hAnsi="Calibri" w:cs="Calibri"/>
                <w:kern w:val="0"/>
                <w:szCs w:val="24"/>
                <w14:ligatures w14:val="none"/>
              </w:rPr>
            </w:pPr>
            <w:r>
              <w:rPr>
                <w:color w:val="000000"/>
                <w:sz w:val="22"/>
              </w:rPr>
              <w:t>Rebecca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2F4F82CB" w14:textId="4B778D57" w:rsidR="00BD32DA" w:rsidRPr="00F1381F" w:rsidRDefault="00BD32DA" w:rsidP="00BD32DA">
            <w:pPr>
              <w:rPr>
                <w:rFonts w:ascii="Calibri" w:eastAsia="Times New Roman" w:hAnsi="Calibri" w:cs="Calibri"/>
                <w:kern w:val="0"/>
                <w:szCs w:val="24"/>
                <w14:ligatures w14:val="none"/>
              </w:rPr>
            </w:pPr>
            <w:r>
              <w:rPr>
                <w:color w:val="000000"/>
                <w:sz w:val="22"/>
              </w:rPr>
              <w:t>Baird</w:t>
            </w:r>
          </w:p>
        </w:tc>
      </w:tr>
      <w:tr w:rsidR="00BD32DA" w:rsidRPr="00F1381F" w14:paraId="573A12B9"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3B35DE0A" w14:textId="77777777" w:rsidR="00BD32DA" w:rsidRPr="00F1381F" w:rsidRDefault="00BD32DA" w:rsidP="00BD32DA">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Rancho Santiago CCD</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1C93E639" w14:textId="4476298F" w:rsidR="00BD32DA" w:rsidRPr="00F1381F" w:rsidRDefault="00BD32DA" w:rsidP="00BD32DA">
            <w:pPr>
              <w:rPr>
                <w:rFonts w:ascii="Calibri" w:eastAsia="Times New Roman" w:hAnsi="Calibri" w:cs="Calibri"/>
                <w:kern w:val="0"/>
                <w:szCs w:val="24"/>
                <w14:ligatures w14:val="none"/>
              </w:rPr>
            </w:pPr>
            <w:r>
              <w:rPr>
                <w:color w:val="000000"/>
                <w:sz w:val="22"/>
              </w:rPr>
              <w:t xml:space="preserve">Claire M.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70F3E236" w14:textId="04251C75" w:rsidR="00BD32DA" w:rsidRPr="00F1381F" w:rsidRDefault="00BD32DA" w:rsidP="00BD32DA">
            <w:pPr>
              <w:rPr>
                <w:rFonts w:ascii="Calibri" w:eastAsia="Times New Roman" w:hAnsi="Calibri" w:cs="Calibri"/>
                <w:kern w:val="0"/>
                <w:szCs w:val="24"/>
                <w14:ligatures w14:val="none"/>
              </w:rPr>
            </w:pPr>
            <w:r>
              <w:rPr>
                <w:color w:val="000000"/>
                <w:sz w:val="22"/>
              </w:rPr>
              <w:t xml:space="preserve">Coyne </w:t>
            </w:r>
          </w:p>
        </w:tc>
      </w:tr>
      <w:tr w:rsidR="00BD32DA" w:rsidRPr="00F1381F" w14:paraId="55655702"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69ED2CA1" w14:textId="77777777" w:rsidR="00BD32DA" w:rsidRPr="00F1381F" w:rsidRDefault="00BD32DA" w:rsidP="00BD32DA">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Redwoods, College of the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4AD60C22" w14:textId="1EC16F40" w:rsidR="00BD32DA" w:rsidRPr="00F1381F" w:rsidRDefault="00BD32DA" w:rsidP="00BD32DA">
            <w:pPr>
              <w:rPr>
                <w:rFonts w:ascii="Calibri" w:eastAsia="Times New Roman" w:hAnsi="Calibri" w:cs="Calibri"/>
                <w:kern w:val="0"/>
                <w:szCs w:val="24"/>
                <w14:ligatures w14:val="none"/>
              </w:rPr>
            </w:pPr>
            <w:r>
              <w:rPr>
                <w:color w:val="000000"/>
                <w:sz w:val="22"/>
              </w:rPr>
              <w:t xml:space="preserve">Bernadette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109C408F" w14:textId="7DD5AD4F" w:rsidR="00BD32DA" w:rsidRPr="00F1381F" w:rsidRDefault="00BD32DA" w:rsidP="00BD32DA">
            <w:pPr>
              <w:rPr>
                <w:rFonts w:ascii="Calibri" w:eastAsia="Times New Roman" w:hAnsi="Calibri" w:cs="Calibri"/>
                <w:kern w:val="0"/>
                <w:szCs w:val="24"/>
                <w14:ligatures w14:val="none"/>
              </w:rPr>
            </w:pPr>
            <w:r>
              <w:rPr>
                <w:color w:val="000000"/>
                <w:sz w:val="22"/>
              </w:rPr>
              <w:t xml:space="preserve">Johnson </w:t>
            </w:r>
          </w:p>
        </w:tc>
      </w:tr>
      <w:tr w:rsidR="00BD32DA" w:rsidRPr="00F1381F" w14:paraId="2516C366"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2BC7D63F" w14:textId="77777777" w:rsidR="00BD32DA" w:rsidRPr="00F1381F" w:rsidRDefault="00BD32DA" w:rsidP="00BD32DA">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Reedley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2C7305A8" w14:textId="09669F59" w:rsidR="00BD32DA" w:rsidRPr="00F1381F" w:rsidRDefault="00BD32DA" w:rsidP="00BD32DA">
            <w:pPr>
              <w:rPr>
                <w:rFonts w:ascii="Calibri" w:eastAsia="Times New Roman" w:hAnsi="Calibri" w:cs="Calibri"/>
                <w:kern w:val="0"/>
                <w:szCs w:val="24"/>
                <w14:ligatures w14:val="none"/>
              </w:rPr>
            </w:pPr>
            <w:r>
              <w:rPr>
                <w:color w:val="000000"/>
                <w:sz w:val="22"/>
              </w:rPr>
              <w:t xml:space="preserve">Ruby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53ACBE8B" w14:textId="40FBBF52" w:rsidR="00BD32DA" w:rsidRPr="00F1381F" w:rsidRDefault="00BD32DA" w:rsidP="00BD32DA">
            <w:pPr>
              <w:rPr>
                <w:rFonts w:ascii="Calibri" w:eastAsia="Times New Roman" w:hAnsi="Calibri" w:cs="Calibri"/>
                <w:kern w:val="0"/>
                <w:szCs w:val="24"/>
                <w14:ligatures w14:val="none"/>
              </w:rPr>
            </w:pPr>
            <w:r>
              <w:rPr>
                <w:color w:val="000000"/>
                <w:sz w:val="22"/>
              </w:rPr>
              <w:t xml:space="preserve">Duran </w:t>
            </w:r>
          </w:p>
        </w:tc>
      </w:tr>
      <w:tr w:rsidR="00BD32DA" w:rsidRPr="00F1381F" w14:paraId="047AFBD2"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7552DEEB" w14:textId="77777777" w:rsidR="00BD32DA" w:rsidRPr="00F1381F" w:rsidRDefault="00BD32DA" w:rsidP="00BD32DA">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Rio Hondo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073EC66D" w14:textId="14E78A27" w:rsidR="00BD32DA" w:rsidRPr="00F1381F" w:rsidRDefault="00BD32DA" w:rsidP="00BD32DA">
            <w:pPr>
              <w:rPr>
                <w:rFonts w:ascii="Calibri" w:eastAsia="Times New Roman" w:hAnsi="Calibri" w:cs="Calibri"/>
                <w:kern w:val="0"/>
                <w:szCs w:val="24"/>
                <w14:ligatures w14:val="none"/>
              </w:rPr>
            </w:pPr>
            <w:r>
              <w:rPr>
                <w:color w:val="000000"/>
                <w:sz w:val="22"/>
              </w:rPr>
              <w:t xml:space="preserve">Angela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0E4EEA30" w14:textId="11ABBA16" w:rsidR="00BD32DA" w:rsidRPr="00F1381F" w:rsidRDefault="00BD32DA" w:rsidP="00BD32DA">
            <w:pPr>
              <w:rPr>
                <w:rFonts w:ascii="Calibri" w:eastAsia="Times New Roman" w:hAnsi="Calibri" w:cs="Calibri"/>
                <w:kern w:val="0"/>
                <w:szCs w:val="24"/>
                <w14:ligatures w14:val="none"/>
              </w:rPr>
            </w:pPr>
            <w:r>
              <w:rPr>
                <w:color w:val="000000"/>
                <w:sz w:val="22"/>
              </w:rPr>
              <w:t xml:space="preserve">Rhodes </w:t>
            </w:r>
          </w:p>
        </w:tc>
      </w:tr>
      <w:tr w:rsidR="004F4B9D" w:rsidRPr="00F1381F" w14:paraId="371DB1B0"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7D1B6C98" w14:textId="77777777" w:rsidR="004F4B9D" w:rsidRPr="00F1381F" w:rsidRDefault="004F4B9D" w:rsidP="004F4B9D">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Riverside City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20220419" w14:textId="7964C463" w:rsidR="004F4B9D" w:rsidRPr="00F1381F" w:rsidRDefault="004F4B9D" w:rsidP="004F4B9D">
            <w:pPr>
              <w:rPr>
                <w:rFonts w:ascii="Calibri" w:eastAsia="Times New Roman" w:hAnsi="Calibri" w:cs="Calibri"/>
                <w:kern w:val="0"/>
                <w:szCs w:val="24"/>
                <w14:ligatures w14:val="none"/>
              </w:rPr>
            </w:pPr>
            <w:r>
              <w:rPr>
                <w:color w:val="000000"/>
                <w:sz w:val="22"/>
              </w:rPr>
              <w:t>Jo</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5403F6BE" w14:textId="29CEF9E9" w:rsidR="004F4B9D" w:rsidRPr="00F1381F" w:rsidRDefault="004F4B9D" w:rsidP="004F4B9D">
            <w:pPr>
              <w:rPr>
                <w:rFonts w:ascii="Calibri" w:eastAsia="Times New Roman" w:hAnsi="Calibri" w:cs="Calibri"/>
                <w:kern w:val="0"/>
                <w:szCs w:val="24"/>
                <w14:ligatures w14:val="none"/>
              </w:rPr>
            </w:pPr>
            <w:r>
              <w:rPr>
                <w:color w:val="000000"/>
                <w:sz w:val="22"/>
              </w:rPr>
              <w:t>Scott-Coe</w:t>
            </w:r>
          </w:p>
        </w:tc>
      </w:tr>
      <w:tr w:rsidR="005B1958" w:rsidRPr="00F1381F" w14:paraId="3F7A20D7"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0574D2FE" w14:textId="0BAA3353" w:rsidR="005B1958" w:rsidRPr="00F1381F" w:rsidRDefault="005B1958" w:rsidP="00BD32DA">
            <w:pPr>
              <w:rPr>
                <w:rFonts w:ascii="Calibri" w:eastAsia="Times New Roman" w:hAnsi="Calibri" w:cs="Calibri"/>
                <w:kern w:val="0"/>
                <w:szCs w:val="24"/>
                <w14:ligatures w14:val="none"/>
              </w:rPr>
            </w:pPr>
            <w:r>
              <w:rPr>
                <w:rFonts w:ascii="Calibri" w:eastAsia="Times New Roman" w:hAnsi="Calibri" w:cs="Calibri"/>
                <w:kern w:val="0"/>
                <w:szCs w:val="24"/>
                <w14:ligatures w14:val="none"/>
              </w:rPr>
              <w:t>Riverside CCD</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6DCF0F05" w14:textId="66C83D91" w:rsidR="005B1958" w:rsidRDefault="004F4B9D" w:rsidP="00BD32DA">
            <w:pPr>
              <w:rPr>
                <w:color w:val="000000"/>
                <w:sz w:val="22"/>
              </w:rPr>
            </w:pPr>
            <w:r>
              <w:rPr>
                <w:color w:val="000000"/>
                <w:sz w:val="22"/>
              </w:rPr>
              <w:t>Kimberl</w:t>
            </w:r>
            <w:r w:rsidR="00982176">
              <w:rPr>
                <w:color w:val="000000"/>
                <w:sz w:val="22"/>
              </w:rPr>
              <w:t>y</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3B802E39" w14:textId="2FB4C8B6" w:rsidR="005B1958" w:rsidRDefault="00982176" w:rsidP="00BD32DA">
            <w:pPr>
              <w:rPr>
                <w:color w:val="000000"/>
                <w:sz w:val="22"/>
              </w:rPr>
            </w:pPr>
            <w:r>
              <w:rPr>
                <w:color w:val="000000"/>
                <w:sz w:val="22"/>
              </w:rPr>
              <w:t>Bell</w:t>
            </w:r>
          </w:p>
        </w:tc>
      </w:tr>
      <w:tr w:rsidR="004E3660" w:rsidRPr="00F1381F" w14:paraId="1CC3DF2F"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09367E8A" w14:textId="77777777" w:rsidR="004E3660" w:rsidRPr="00F1381F" w:rsidRDefault="004E3660" w:rsidP="004E3660">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Sacramento City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0AA12032" w14:textId="6399DF4C" w:rsidR="004E3660" w:rsidRPr="00F1381F" w:rsidRDefault="004E3660" w:rsidP="004E3660">
            <w:pPr>
              <w:rPr>
                <w:rFonts w:ascii="Calibri" w:eastAsia="Times New Roman" w:hAnsi="Calibri" w:cs="Calibri"/>
                <w:kern w:val="0"/>
                <w:szCs w:val="24"/>
                <w14:ligatures w14:val="none"/>
              </w:rPr>
            </w:pPr>
            <w:r>
              <w:rPr>
                <w:color w:val="000000"/>
                <w:sz w:val="22"/>
              </w:rPr>
              <w:t xml:space="preserve">Amy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625CCA25" w14:textId="2118628B" w:rsidR="004E3660" w:rsidRPr="00F1381F" w:rsidRDefault="004E3660" w:rsidP="004E3660">
            <w:pPr>
              <w:rPr>
                <w:rFonts w:ascii="Calibri" w:eastAsia="Times New Roman" w:hAnsi="Calibri" w:cs="Calibri"/>
                <w:kern w:val="0"/>
                <w:szCs w:val="24"/>
                <w14:ligatures w14:val="none"/>
              </w:rPr>
            </w:pPr>
            <w:r>
              <w:rPr>
                <w:color w:val="000000"/>
                <w:sz w:val="22"/>
              </w:rPr>
              <w:t>Strimling</w:t>
            </w:r>
          </w:p>
        </w:tc>
      </w:tr>
      <w:tr w:rsidR="004E3660" w:rsidRPr="00F1381F" w14:paraId="70C45743"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2155DD93" w14:textId="77777777" w:rsidR="004E3660" w:rsidRPr="00F1381F" w:rsidRDefault="004E3660" w:rsidP="004E3660">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Saddleback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76221F86" w14:textId="7C9033AF" w:rsidR="004E3660" w:rsidRPr="00F1381F" w:rsidRDefault="004E3660" w:rsidP="004E3660">
            <w:pPr>
              <w:rPr>
                <w:rFonts w:ascii="Calibri" w:eastAsia="Times New Roman" w:hAnsi="Calibri" w:cs="Calibri"/>
                <w:kern w:val="0"/>
                <w:szCs w:val="24"/>
                <w14:ligatures w14:val="none"/>
              </w:rPr>
            </w:pPr>
            <w:r>
              <w:rPr>
                <w:color w:val="000000"/>
                <w:sz w:val="22"/>
              </w:rPr>
              <w:t xml:space="preserve">Frank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162050B1" w14:textId="431BB490" w:rsidR="004E3660" w:rsidRPr="00F1381F" w:rsidRDefault="004E3660" w:rsidP="004E3660">
            <w:pPr>
              <w:rPr>
                <w:rFonts w:ascii="Calibri" w:eastAsia="Times New Roman" w:hAnsi="Calibri" w:cs="Calibri"/>
                <w:kern w:val="0"/>
                <w:szCs w:val="24"/>
                <w14:ligatures w14:val="none"/>
              </w:rPr>
            </w:pPr>
            <w:r>
              <w:rPr>
                <w:color w:val="000000"/>
                <w:sz w:val="22"/>
              </w:rPr>
              <w:t xml:space="preserve">Gonzalez </w:t>
            </w:r>
          </w:p>
        </w:tc>
      </w:tr>
      <w:tr w:rsidR="004E3660" w:rsidRPr="00F1381F" w14:paraId="7447DD5C"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375491B0" w14:textId="77777777" w:rsidR="004E3660" w:rsidRPr="00F1381F" w:rsidRDefault="004E3660" w:rsidP="004E3660">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San Bernardino Valley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4265D997" w14:textId="18EAD90C" w:rsidR="004E3660" w:rsidRPr="00F1381F" w:rsidRDefault="004E3660" w:rsidP="004E3660">
            <w:pPr>
              <w:rPr>
                <w:rFonts w:ascii="Calibri" w:eastAsia="Times New Roman" w:hAnsi="Calibri" w:cs="Calibri"/>
                <w:kern w:val="0"/>
                <w:szCs w:val="24"/>
                <w14:ligatures w14:val="none"/>
              </w:rPr>
            </w:pPr>
            <w:r>
              <w:rPr>
                <w:color w:val="000000"/>
                <w:sz w:val="22"/>
              </w:rPr>
              <w:t xml:space="preserve">Andrea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585948BA" w14:textId="049567F2" w:rsidR="004E3660" w:rsidRPr="00F1381F" w:rsidRDefault="004E3660" w:rsidP="004E3660">
            <w:pPr>
              <w:rPr>
                <w:rFonts w:ascii="Calibri" w:eastAsia="Times New Roman" w:hAnsi="Calibri" w:cs="Calibri"/>
                <w:kern w:val="0"/>
                <w:szCs w:val="24"/>
                <w14:ligatures w14:val="none"/>
              </w:rPr>
            </w:pPr>
            <w:r>
              <w:rPr>
                <w:color w:val="000000"/>
                <w:sz w:val="22"/>
              </w:rPr>
              <w:t xml:space="preserve">Hecht </w:t>
            </w:r>
          </w:p>
        </w:tc>
      </w:tr>
      <w:tr w:rsidR="004E3660" w:rsidRPr="00F1381F" w14:paraId="4E67267F"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040411CE" w14:textId="77777777" w:rsidR="004E3660" w:rsidRPr="00F1381F" w:rsidRDefault="004E3660" w:rsidP="004E3660">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San Diego City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2B2BB739" w14:textId="72C1666F" w:rsidR="004E3660" w:rsidRPr="00F1381F" w:rsidRDefault="004E3660" w:rsidP="004E3660">
            <w:pPr>
              <w:rPr>
                <w:rFonts w:ascii="Calibri" w:eastAsia="Times New Roman" w:hAnsi="Calibri" w:cs="Calibri"/>
                <w:kern w:val="0"/>
                <w:szCs w:val="24"/>
                <w14:ligatures w14:val="none"/>
              </w:rPr>
            </w:pPr>
            <w:r>
              <w:rPr>
                <w:color w:val="000000"/>
                <w:sz w:val="22"/>
              </w:rPr>
              <w:t xml:space="preserve">Mona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4720BFB4" w14:textId="0083A105" w:rsidR="004E3660" w:rsidRPr="00F1381F" w:rsidRDefault="004E3660" w:rsidP="004E3660">
            <w:pPr>
              <w:rPr>
                <w:rFonts w:ascii="Calibri" w:eastAsia="Times New Roman" w:hAnsi="Calibri" w:cs="Calibri"/>
                <w:kern w:val="0"/>
                <w:szCs w:val="24"/>
                <w14:ligatures w14:val="none"/>
              </w:rPr>
            </w:pPr>
            <w:proofErr w:type="spellStart"/>
            <w:r>
              <w:rPr>
                <w:color w:val="000000"/>
                <w:sz w:val="22"/>
              </w:rPr>
              <w:t>Alsoraimi</w:t>
            </w:r>
            <w:proofErr w:type="spellEnd"/>
            <w:r>
              <w:rPr>
                <w:color w:val="000000"/>
                <w:sz w:val="22"/>
              </w:rPr>
              <w:t>-Espiritu</w:t>
            </w:r>
          </w:p>
        </w:tc>
      </w:tr>
      <w:tr w:rsidR="004E3660" w:rsidRPr="00F1381F" w14:paraId="2658A661"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663CA243" w14:textId="77777777" w:rsidR="004E3660" w:rsidRPr="00F1381F" w:rsidRDefault="004E3660" w:rsidP="004E3660">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San Diego Continuing Ed</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3F29D329" w14:textId="54C4F77C" w:rsidR="004E3660" w:rsidRPr="00F1381F" w:rsidRDefault="004E3660" w:rsidP="004E3660">
            <w:pPr>
              <w:rPr>
                <w:rFonts w:ascii="Calibri" w:eastAsia="Times New Roman" w:hAnsi="Calibri" w:cs="Calibri"/>
                <w:kern w:val="0"/>
                <w:szCs w:val="24"/>
                <w14:ligatures w14:val="none"/>
              </w:rPr>
            </w:pPr>
            <w:r>
              <w:rPr>
                <w:sz w:val="20"/>
                <w:szCs w:val="20"/>
              </w:rPr>
              <w:t xml:space="preserve">Richard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4296982C" w14:textId="23573282" w:rsidR="004E3660" w:rsidRPr="00F1381F" w:rsidRDefault="004E3660" w:rsidP="004E3660">
            <w:pPr>
              <w:rPr>
                <w:rFonts w:ascii="Calibri" w:eastAsia="Times New Roman" w:hAnsi="Calibri" w:cs="Calibri"/>
                <w:kern w:val="0"/>
                <w:szCs w:val="24"/>
                <w14:ligatures w14:val="none"/>
              </w:rPr>
            </w:pPr>
            <w:r>
              <w:rPr>
                <w:sz w:val="20"/>
                <w:szCs w:val="20"/>
              </w:rPr>
              <w:t>Weinroth</w:t>
            </w:r>
          </w:p>
        </w:tc>
      </w:tr>
      <w:tr w:rsidR="004E3660" w:rsidRPr="00F1381F" w14:paraId="560425FC"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31F39B46" w14:textId="77777777" w:rsidR="004E3660" w:rsidRPr="00F1381F" w:rsidRDefault="004E3660" w:rsidP="004E3660">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lastRenderedPageBreak/>
              <w:t>San Diego Mesa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6998A392" w14:textId="633957BA" w:rsidR="004E3660" w:rsidRPr="00F1381F" w:rsidRDefault="004E3660" w:rsidP="004E3660">
            <w:pPr>
              <w:rPr>
                <w:rFonts w:ascii="Calibri" w:eastAsia="Times New Roman" w:hAnsi="Calibri" w:cs="Calibri"/>
                <w:kern w:val="0"/>
                <w:szCs w:val="24"/>
                <w14:ligatures w14:val="none"/>
              </w:rPr>
            </w:pPr>
            <w:r>
              <w:rPr>
                <w:color w:val="000000"/>
                <w:sz w:val="22"/>
              </w:rPr>
              <w:t>Andrew</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1FC7FB65" w14:textId="29E764BF" w:rsidR="004E3660" w:rsidRPr="00F1381F" w:rsidRDefault="004E3660" w:rsidP="004E3660">
            <w:pPr>
              <w:rPr>
                <w:rFonts w:ascii="Calibri" w:eastAsia="Times New Roman" w:hAnsi="Calibri" w:cs="Calibri"/>
                <w:kern w:val="0"/>
                <w:szCs w:val="24"/>
                <w14:ligatures w14:val="none"/>
              </w:rPr>
            </w:pPr>
            <w:r>
              <w:rPr>
                <w:color w:val="000000"/>
                <w:sz w:val="22"/>
              </w:rPr>
              <w:t>Hoffman</w:t>
            </w:r>
          </w:p>
        </w:tc>
      </w:tr>
      <w:tr w:rsidR="004E3660" w:rsidRPr="00F1381F" w14:paraId="11C42F4C"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78321BA5" w14:textId="77777777" w:rsidR="004E3660" w:rsidRPr="00F1381F" w:rsidRDefault="004E3660" w:rsidP="004E3660">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San Diego Miramar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355B86BF" w14:textId="2D10B5A0" w:rsidR="004E3660" w:rsidRPr="00F1381F" w:rsidRDefault="004E3660" w:rsidP="004E3660">
            <w:pPr>
              <w:rPr>
                <w:rFonts w:ascii="Calibri" w:eastAsia="Times New Roman" w:hAnsi="Calibri" w:cs="Calibri"/>
                <w:kern w:val="0"/>
                <w:szCs w:val="24"/>
                <w14:ligatures w14:val="none"/>
              </w:rPr>
            </w:pPr>
            <w:r>
              <w:rPr>
                <w:color w:val="000000"/>
                <w:sz w:val="22"/>
              </w:rPr>
              <w:t>Pablo</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134D2654" w14:textId="7514847A" w:rsidR="004E3660" w:rsidRPr="00F1381F" w:rsidRDefault="004E3660" w:rsidP="004E3660">
            <w:pPr>
              <w:rPr>
                <w:rFonts w:ascii="Calibri" w:eastAsia="Times New Roman" w:hAnsi="Calibri" w:cs="Calibri"/>
                <w:kern w:val="0"/>
                <w:szCs w:val="24"/>
                <w14:ligatures w14:val="none"/>
              </w:rPr>
            </w:pPr>
            <w:r>
              <w:rPr>
                <w:color w:val="000000"/>
                <w:sz w:val="22"/>
              </w:rPr>
              <w:t>Martin</w:t>
            </w:r>
          </w:p>
        </w:tc>
      </w:tr>
      <w:tr w:rsidR="004E3660" w:rsidRPr="00F1381F" w14:paraId="6338BAD2"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2E5734BA" w14:textId="77777777" w:rsidR="004E3660" w:rsidRPr="00F1381F" w:rsidRDefault="004E3660" w:rsidP="004E3660">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San Francisco, City College of</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628E8D4C" w14:textId="2F2B35DB" w:rsidR="004E3660" w:rsidRPr="00F1381F" w:rsidRDefault="004E3660" w:rsidP="004E3660">
            <w:pPr>
              <w:rPr>
                <w:rFonts w:ascii="Calibri" w:eastAsia="Times New Roman" w:hAnsi="Calibri" w:cs="Calibri"/>
                <w:kern w:val="0"/>
                <w:szCs w:val="24"/>
                <w14:ligatures w14:val="none"/>
              </w:rPr>
            </w:pPr>
            <w:r>
              <w:rPr>
                <w:color w:val="000000"/>
                <w:sz w:val="22"/>
              </w:rPr>
              <w:t>Alexis</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11CF92A0" w14:textId="27BDDE03" w:rsidR="004E3660" w:rsidRPr="00F1381F" w:rsidRDefault="004E3660" w:rsidP="004E3660">
            <w:pPr>
              <w:rPr>
                <w:rFonts w:ascii="Calibri" w:eastAsia="Times New Roman" w:hAnsi="Calibri" w:cs="Calibri"/>
                <w:kern w:val="0"/>
                <w:szCs w:val="24"/>
                <w14:ligatures w14:val="none"/>
              </w:rPr>
            </w:pPr>
            <w:proofErr w:type="spellStart"/>
            <w:r>
              <w:rPr>
                <w:color w:val="000000"/>
                <w:sz w:val="22"/>
              </w:rPr>
              <w:t>Litzky</w:t>
            </w:r>
            <w:proofErr w:type="spellEnd"/>
          </w:p>
        </w:tc>
      </w:tr>
      <w:tr w:rsidR="004E3660" w:rsidRPr="00F1381F" w14:paraId="40C5564B"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1263FB0F" w14:textId="77777777" w:rsidR="004E3660" w:rsidRPr="00F1381F" w:rsidRDefault="004E3660" w:rsidP="004E3660">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San Joaquin Delta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20A33017" w14:textId="39FAEF8F" w:rsidR="004E3660" w:rsidRPr="00F1381F" w:rsidRDefault="004E3660" w:rsidP="004E3660">
            <w:pPr>
              <w:rPr>
                <w:rFonts w:ascii="Calibri" w:eastAsia="Times New Roman" w:hAnsi="Calibri" w:cs="Calibri"/>
                <w:kern w:val="0"/>
                <w:szCs w:val="24"/>
                <w14:ligatures w14:val="none"/>
              </w:rPr>
            </w:pPr>
            <w:r>
              <w:rPr>
                <w:color w:val="000000"/>
                <w:sz w:val="22"/>
              </w:rPr>
              <w:t>Becky</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2F789A54" w14:textId="6AC50BF3" w:rsidR="004E3660" w:rsidRPr="00F1381F" w:rsidRDefault="004E3660" w:rsidP="004E3660">
            <w:pPr>
              <w:rPr>
                <w:rFonts w:ascii="Calibri" w:eastAsia="Times New Roman" w:hAnsi="Calibri" w:cs="Calibri"/>
                <w:kern w:val="0"/>
                <w:szCs w:val="24"/>
                <w14:ligatures w14:val="none"/>
              </w:rPr>
            </w:pPr>
            <w:r>
              <w:rPr>
                <w:color w:val="000000"/>
                <w:sz w:val="22"/>
              </w:rPr>
              <w:t>Plaza</w:t>
            </w:r>
          </w:p>
        </w:tc>
      </w:tr>
      <w:tr w:rsidR="004E3660" w:rsidRPr="00F1381F" w14:paraId="41C4C595"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6D8C438D" w14:textId="77777777" w:rsidR="004E3660" w:rsidRPr="00F1381F" w:rsidRDefault="004E3660" w:rsidP="004E3660">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San Jose City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39085CED" w14:textId="246862AA" w:rsidR="004E3660" w:rsidRPr="00F1381F" w:rsidRDefault="004E3660" w:rsidP="004E3660">
            <w:pPr>
              <w:rPr>
                <w:rFonts w:ascii="Calibri" w:eastAsia="Times New Roman" w:hAnsi="Calibri" w:cs="Calibri"/>
                <w:kern w:val="0"/>
                <w:szCs w:val="24"/>
                <w14:ligatures w14:val="none"/>
              </w:rPr>
            </w:pPr>
            <w:r>
              <w:rPr>
                <w:color w:val="000000"/>
                <w:sz w:val="22"/>
              </w:rPr>
              <w:t xml:space="preserve">Heidi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10E1CEBC" w14:textId="539DD120" w:rsidR="004E3660" w:rsidRPr="00F1381F" w:rsidRDefault="004E3660" w:rsidP="004E3660">
            <w:pPr>
              <w:rPr>
                <w:rFonts w:ascii="Calibri" w:eastAsia="Times New Roman" w:hAnsi="Calibri" w:cs="Calibri"/>
                <w:kern w:val="0"/>
                <w:szCs w:val="24"/>
                <w14:ligatures w14:val="none"/>
              </w:rPr>
            </w:pPr>
            <w:r>
              <w:rPr>
                <w:color w:val="000000"/>
                <w:sz w:val="22"/>
              </w:rPr>
              <w:t>Kozlowski</w:t>
            </w:r>
          </w:p>
        </w:tc>
      </w:tr>
      <w:tr w:rsidR="004E3660" w:rsidRPr="00F1381F" w14:paraId="1960E235"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34DCC351" w14:textId="77777777" w:rsidR="004E3660" w:rsidRPr="00F1381F" w:rsidRDefault="004E3660" w:rsidP="004E3660">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San Jose-Evergreen CCD</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143DBA45" w14:textId="686C8965" w:rsidR="004E3660" w:rsidRPr="00F1381F" w:rsidRDefault="004E3660" w:rsidP="004E3660">
            <w:pPr>
              <w:rPr>
                <w:rFonts w:ascii="Calibri" w:eastAsia="Times New Roman" w:hAnsi="Calibri" w:cs="Calibri"/>
                <w:kern w:val="0"/>
                <w:szCs w:val="24"/>
                <w14:ligatures w14:val="none"/>
              </w:rPr>
            </w:pPr>
            <w:r>
              <w:rPr>
                <w:sz w:val="20"/>
                <w:szCs w:val="20"/>
              </w:rPr>
              <w:t>David</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1F1F9341" w14:textId="26DFE08D" w:rsidR="004E3660" w:rsidRPr="00F1381F" w:rsidRDefault="004E3660" w:rsidP="004E3660">
            <w:pPr>
              <w:rPr>
                <w:rFonts w:ascii="Calibri" w:eastAsia="Times New Roman" w:hAnsi="Calibri" w:cs="Calibri"/>
                <w:kern w:val="0"/>
                <w:szCs w:val="24"/>
                <w14:ligatures w14:val="none"/>
              </w:rPr>
            </w:pPr>
            <w:r>
              <w:rPr>
                <w:sz w:val="20"/>
                <w:szCs w:val="20"/>
              </w:rPr>
              <w:t>Hendricks</w:t>
            </w:r>
          </w:p>
        </w:tc>
      </w:tr>
      <w:tr w:rsidR="004E3660" w:rsidRPr="00F1381F" w14:paraId="04878D4B"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34D2CA92" w14:textId="77777777" w:rsidR="004E3660" w:rsidRPr="00F1381F" w:rsidRDefault="004E3660" w:rsidP="004E3660">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San Mateo CCD</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15B2092D" w14:textId="75B65A89" w:rsidR="004E3660" w:rsidRPr="00F1381F" w:rsidRDefault="004E3660" w:rsidP="004E3660">
            <w:pPr>
              <w:rPr>
                <w:rFonts w:ascii="Calibri" w:eastAsia="Times New Roman" w:hAnsi="Calibri" w:cs="Calibri"/>
                <w:kern w:val="0"/>
                <w:szCs w:val="24"/>
                <w14:ligatures w14:val="none"/>
              </w:rPr>
            </w:pPr>
            <w:r>
              <w:rPr>
                <w:color w:val="000000"/>
                <w:sz w:val="22"/>
              </w:rPr>
              <w:t>David</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6A16B76C" w14:textId="6FBC2763" w:rsidR="004E3660" w:rsidRPr="00F1381F" w:rsidRDefault="004E3660" w:rsidP="004E3660">
            <w:pPr>
              <w:rPr>
                <w:rFonts w:ascii="Calibri" w:eastAsia="Times New Roman" w:hAnsi="Calibri" w:cs="Calibri"/>
                <w:kern w:val="0"/>
                <w:szCs w:val="24"/>
                <w14:ligatures w14:val="none"/>
              </w:rPr>
            </w:pPr>
            <w:r>
              <w:rPr>
                <w:color w:val="000000"/>
                <w:sz w:val="22"/>
              </w:rPr>
              <w:t>Eck</w:t>
            </w:r>
          </w:p>
        </w:tc>
      </w:tr>
      <w:tr w:rsidR="004E3660" w:rsidRPr="00F1381F" w14:paraId="5C424198"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5F442EAA" w14:textId="77777777" w:rsidR="004E3660" w:rsidRPr="00F1381F" w:rsidRDefault="004E3660" w:rsidP="004E3660">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 xml:space="preserve">San Mateo, College of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55BF2758" w14:textId="203FF747" w:rsidR="004E3660" w:rsidRPr="00F1381F" w:rsidRDefault="004E3660" w:rsidP="004E3660">
            <w:pPr>
              <w:rPr>
                <w:rFonts w:ascii="Calibri" w:eastAsia="Times New Roman" w:hAnsi="Calibri" w:cs="Calibri"/>
                <w:kern w:val="0"/>
                <w:szCs w:val="24"/>
                <w14:ligatures w14:val="none"/>
              </w:rPr>
            </w:pPr>
            <w:r>
              <w:rPr>
                <w:color w:val="000000"/>
                <w:sz w:val="22"/>
              </w:rPr>
              <w:t>Tod</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215530EA" w14:textId="50FE3170" w:rsidR="004E3660" w:rsidRPr="00F1381F" w:rsidRDefault="004E3660" w:rsidP="004E3660">
            <w:pPr>
              <w:rPr>
                <w:rFonts w:ascii="Calibri" w:eastAsia="Times New Roman" w:hAnsi="Calibri" w:cs="Calibri"/>
                <w:kern w:val="0"/>
                <w:szCs w:val="24"/>
                <w14:ligatures w14:val="none"/>
              </w:rPr>
            </w:pPr>
            <w:r>
              <w:rPr>
                <w:color w:val="000000"/>
                <w:sz w:val="22"/>
              </w:rPr>
              <w:t>Windisch</w:t>
            </w:r>
          </w:p>
        </w:tc>
      </w:tr>
      <w:tr w:rsidR="004E3660" w:rsidRPr="00F1381F" w14:paraId="0AF24583"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74DB5415" w14:textId="77777777" w:rsidR="004E3660" w:rsidRPr="00F1381F" w:rsidRDefault="004E3660" w:rsidP="004E3660">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Santa Ana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1D35B11A" w14:textId="42BB7CF0" w:rsidR="004E3660" w:rsidRPr="00F1381F" w:rsidRDefault="004E3660" w:rsidP="004E3660">
            <w:pPr>
              <w:rPr>
                <w:rFonts w:ascii="Calibri" w:eastAsia="Times New Roman" w:hAnsi="Calibri" w:cs="Calibri"/>
                <w:kern w:val="0"/>
                <w:szCs w:val="24"/>
                <w14:ligatures w14:val="none"/>
              </w:rPr>
            </w:pPr>
            <w:r>
              <w:rPr>
                <w:color w:val="000000"/>
                <w:sz w:val="22"/>
              </w:rPr>
              <w:t>Merari</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2FD7F582" w14:textId="2DB4E891" w:rsidR="004E3660" w:rsidRPr="00F1381F" w:rsidRDefault="004E3660" w:rsidP="004E3660">
            <w:pPr>
              <w:rPr>
                <w:rFonts w:ascii="Calibri" w:eastAsia="Times New Roman" w:hAnsi="Calibri" w:cs="Calibri"/>
                <w:kern w:val="0"/>
                <w:szCs w:val="24"/>
                <w14:ligatures w14:val="none"/>
              </w:rPr>
            </w:pPr>
            <w:r>
              <w:rPr>
                <w:color w:val="000000"/>
                <w:sz w:val="22"/>
              </w:rPr>
              <w:t xml:space="preserve">Weber </w:t>
            </w:r>
          </w:p>
        </w:tc>
      </w:tr>
      <w:tr w:rsidR="004E3660" w:rsidRPr="00F1381F" w14:paraId="3A937D08"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0B61586F" w14:textId="77777777" w:rsidR="004E3660" w:rsidRPr="00F1381F" w:rsidRDefault="004E3660" w:rsidP="004E3660">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Santa Barbara City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308A4363" w14:textId="104AD34D" w:rsidR="004E3660" w:rsidRPr="00F1381F" w:rsidRDefault="004E3660" w:rsidP="004E3660">
            <w:pPr>
              <w:rPr>
                <w:rFonts w:ascii="Calibri" w:eastAsia="Times New Roman" w:hAnsi="Calibri" w:cs="Calibri"/>
                <w:kern w:val="0"/>
                <w:szCs w:val="24"/>
                <w14:ligatures w14:val="none"/>
              </w:rPr>
            </w:pPr>
            <w:r>
              <w:rPr>
                <w:color w:val="000000"/>
                <w:sz w:val="22"/>
              </w:rPr>
              <w:t>Kathleen</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4347F51F" w14:textId="2198F589" w:rsidR="004E3660" w:rsidRPr="00F1381F" w:rsidRDefault="004E3660" w:rsidP="004E3660">
            <w:pPr>
              <w:rPr>
                <w:rFonts w:ascii="Calibri" w:eastAsia="Times New Roman" w:hAnsi="Calibri" w:cs="Calibri"/>
                <w:kern w:val="0"/>
                <w:szCs w:val="24"/>
                <w14:ligatures w14:val="none"/>
              </w:rPr>
            </w:pPr>
            <w:r>
              <w:rPr>
                <w:color w:val="000000"/>
                <w:sz w:val="22"/>
              </w:rPr>
              <w:t>O'Connor</w:t>
            </w:r>
          </w:p>
        </w:tc>
      </w:tr>
      <w:tr w:rsidR="004E3660" w:rsidRPr="00F1381F" w14:paraId="3BC7DBCC"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47305C6B" w14:textId="77777777" w:rsidR="004E3660" w:rsidRPr="00F1381F" w:rsidRDefault="004E3660" w:rsidP="004E3660">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Santa Monica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25565DC6" w14:textId="041043F8" w:rsidR="004E3660" w:rsidRPr="00F1381F" w:rsidRDefault="004E3660" w:rsidP="004E3660">
            <w:pPr>
              <w:rPr>
                <w:rFonts w:ascii="Calibri" w:eastAsia="Times New Roman" w:hAnsi="Calibri" w:cs="Calibri"/>
                <w:kern w:val="0"/>
                <w:szCs w:val="24"/>
                <w14:ligatures w14:val="none"/>
              </w:rPr>
            </w:pPr>
            <w:r>
              <w:rPr>
                <w:color w:val="000000"/>
                <w:sz w:val="22"/>
              </w:rPr>
              <w:t>Jamar</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7D5833CB" w14:textId="7F0C213C" w:rsidR="004E3660" w:rsidRPr="00F1381F" w:rsidRDefault="004E3660" w:rsidP="004E3660">
            <w:pPr>
              <w:rPr>
                <w:rFonts w:ascii="Calibri" w:eastAsia="Times New Roman" w:hAnsi="Calibri" w:cs="Calibri"/>
                <w:kern w:val="0"/>
                <w:szCs w:val="24"/>
                <w14:ligatures w14:val="none"/>
              </w:rPr>
            </w:pPr>
            <w:r>
              <w:rPr>
                <w:color w:val="000000"/>
                <w:sz w:val="22"/>
              </w:rPr>
              <w:t>London</w:t>
            </w:r>
          </w:p>
        </w:tc>
      </w:tr>
      <w:tr w:rsidR="004E3660" w:rsidRPr="00F1381F" w14:paraId="07ABD737"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7D47EE0F" w14:textId="77777777" w:rsidR="004E3660" w:rsidRPr="00F1381F" w:rsidRDefault="004E3660" w:rsidP="004E3660">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Santa Rosa Junior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4B84A431" w14:textId="0F63F815" w:rsidR="004E3660" w:rsidRPr="00F1381F" w:rsidRDefault="004E3660" w:rsidP="004E3660">
            <w:pPr>
              <w:rPr>
                <w:rFonts w:ascii="Calibri" w:eastAsia="Times New Roman" w:hAnsi="Calibri" w:cs="Calibri"/>
                <w:kern w:val="0"/>
                <w:szCs w:val="24"/>
                <w14:ligatures w14:val="none"/>
              </w:rPr>
            </w:pPr>
            <w:r>
              <w:rPr>
                <w:color w:val="000000"/>
                <w:sz w:val="22"/>
              </w:rPr>
              <w:t xml:space="preserve">John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3A9BD7A0" w14:textId="0930E5B8" w:rsidR="004E3660" w:rsidRPr="00F1381F" w:rsidRDefault="004E3660" w:rsidP="004E3660">
            <w:pPr>
              <w:rPr>
                <w:rFonts w:ascii="Calibri" w:eastAsia="Times New Roman" w:hAnsi="Calibri" w:cs="Calibri"/>
                <w:kern w:val="0"/>
                <w:szCs w:val="24"/>
                <w14:ligatures w14:val="none"/>
              </w:rPr>
            </w:pPr>
            <w:r>
              <w:rPr>
                <w:color w:val="000000"/>
                <w:sz w:val="22"/>
              </w:rPr>
              <w:t xml:space="preserve">Stover </w:t>
            </w:r>
          </w:p>
        </w:tc>
      </w:tr>
      <w:tr w:rsidR="004E3660" w:rsidRPr="00F1381F" w14:paraId="5E0D1761"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666C1466" w14:textId="77777777" w:rsidR="004E3660" w:rsidRPr="00F1381F" w:rsidRDefault="004E3660" w:rsidP="004E3660">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Santiago Canyon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5B576877" w14:textId="33E97E24" w:rsidR="004E3660" w:rsidRPr="00F1381F" w:rsidRDefault="004E3660" w:rsidP="004E3660">
            <w:pPr>
              <w:rPr>
                <w:rFonts w:ascii="Calibri" w:eastAsia="Times New Roman" w:hAnsi="Calibri" w:cs="Calibri"/>
                <w:kern w:val="0"/>
                <w:szCs w:val="24"/>
                <w14:ligatures w14:val="none"/>
              </w:rPr>
            </w:pPr>
            <w:r>
              <w:rPr>
                <w:color w:val="000000"/>
                <w:sz w:val="22"/>
              </w:rPr>
              <w:t xml:space="preserve">Sara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434F8E26" w14:textId="1F98EAB2" w:rsidR="004E3660" w:rsidRPr="00F1381F" w:rsidRDefault="004E3660" w:rsidP="004E3660">
            <w:pPr>
              <w:rPr>
                <w:rFonts w:ascii="Calibri" w:eastAsia="Times New Roman" w:hAnsi="Calibri" w:cs="Calibri"/>
                <w:kern w:val="0"/>
                <w:szCs w:val="24"/>
                <w14:ligatures w14:val="none"/>
              </w:rPr>
            </w:pPr>
            <w:r>
              <w:rPr>
                <w:color w:val="000000"/>
                <w:sz w:val="22"/>
              </w:rPr>
              <w:t xml:space="preserve">Gonzalez </w:t>
            </w:r>
          </w:p>
        </w:tc>
      </w:tr>
      <w:tr w:rsidR="004E3660" w:rsidRPr="00F1381F" w14:paraId="24A2E7DB"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3746BA55" w14:textId="77777777" w:rsidR="004E3660" w:rsidRPr="00F1381F" w:rsidRDefault="004E3660" w:rsidP="004E3660">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Sequoias, College of the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2F671D68" w14:textId="48706A4F" w:rsidR="004E3660" w:rsidRPr="00F1381F" w:rsidRDefault="004E3660" w:rsidP="004E3660">
            <w:pPr>
              <w:rPr>
                <w:rFonts w:ascii="Calibri" w:eastAsia="Times New Roman" w:hAnsi="Calibri" w:cs="Calibri"/>
                <w:kern w:val="0"/>
                <w:szCs w:val="24"/>
                <w14:ligatures w14:val="none"/>
              </w:rPr>
            </w:pPr>
            <w:r>
              <w:rPr>
                <w:color w:val="000000"/>
                <w:sz w:val="22"/>
              </w:rPr>
              <w:t>Ramyar Alavi</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21DFE00C" w14:textId="1BAB22A8" w:rsidR="004E3660" w:rsidRPr="00F1381F" w:rsidRDefault="004E3660" w:rsidP="004E3660">
            <w:pPr>
              <w:rPr>
                <w:rFonts w:ascii="Calibri" w:eastAsia="Times New Roman" w:hAnsi="Calibri" w:cs="Calibri"/>
                <w:kern w:val="0"/>
                <w:szCs w:val="24"/>
                <w14:ligatures w14:val="none"/>
              </w:rPr>
            </w:pPr>
            <w:r>
              <w:rPr>
                <w:color w:val="000000"/>
                <w:sz w:val="22"/>
              </w:rPr>
              <w:t>Moghaddam</w:t>
            </w:r>
          </w:p>
        </w:tc>
      </w:tr>
      <w:tr w:rsidR="004E3660" w:rsidRPr="00F1381F" w14:paraId="4C562AE4"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18A57894" w14:textId="77777777" w:rsidR="004E3660" w:rsidRPr="00F1381F" w:rsidRDefault="004E3660" w:rsidP="004E3660">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Shasta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1F0F8C33" w14:textId="0F5D453A" w:rsidR="004E3660" w:rsidRPr="00F1381F" w:rsidRDefault="004E3660" w:rsidP="004E3660">
            <w:pPr>
              <w:rPr>
                <w:rFonts w:ascii="Calibri" w:eastAsia="Times New Roman" w:hAnsi="Calibri" w:cs="Calibri"/>
                <w:kern w:val="0"/>
                <w:szCs w:val="24"/>
                <w14:ligatures w14:val="none"/>
              </w:rPr>
            </w:pPr>
            <w:r>
              <w:rPr>
                <w:color w:val="000000"/>
                <w:sz w:val="22"/>
              </w:rPr>
              <w:t>Jacquelyn</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3282507A" w14:textId="08356C69" w:rsidR="004E3660" w:rsidRPr="00F1381F" w:rsidRDefault="004E3660" w:rsidP="004E3660">
            <w:pPr>
              <w:rPr>
                <w:rFonts w:ascii="Calibri" w:eastAsia="Times New Roman" w:hAnsi="Calibri" w:cs="Calibri"/>
                <w:kern w:val="0"/>
                <w:szCs w:val="24"/>
                <w14:ligatures w14:val="none"/>
              </w:rPr>
            </w:pPr>
            <w:r>
              <w:rPr>
                <w:color w:val="000000"/>
                <w:sz w:val="22"/>
              </w:rPr>
              <w:t>Horton</w:t>
            </w:r>
          </w:p>
        </w:tc>
      </w:tr>
      <w:tr w:rsidR="004E3660" w:rsidRPr="00F1381F" w14:paraId="4F902661"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20B84D1D" w14:textId="77777777" w:rsidR="004E3660" w:rsidRPr="00F1381F" w:rsidRDefault="004E3660" w:rsidP="004E3660">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Sierra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597314AB" w14:textId="048C9D50" w:rsidR="004E3660" w:rsidRPr="00F1381F" w:rsidRDefault="004E3660" w:rsidP="004E3660">
            <w:pPr>
              <w:rPr>
                <w:rFonts w:ascii="Calibri" w:eastAsia="Times New Roman" w:hAnsi="Calibri" w:cs="Calibri"/>
                <w:kern w:val="0"/>
                <w:szCs w:val="24"/>
                <w14:ligatures w14:val="none"/>
              </w:rPr>
            </w:pPr>
            <w:r>
              <w:rPr>
                <w:color w:val="000000"/>
                <w:sz w:val="22"/>
              </w:rPr>
              <w:t>Andre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2EECDABC" w14:textId="217BBD23" w:rsidR="004E3660" w:rsidRPr="00F1381F" w:rsidRDefault="004E3660" w:rsidP="004E3660">
            <w:pPr>
              <w:rPr>
                <w:rFonts w:ascii="Calibri" w:eastAsia="Times New Roman" w:hAnsi="Calibri" w:cs="Calibri"/>
                <w:kern w:val="0"/>
                <w:szCs w:val="24"/>
                <w14:ligatures w14:val="none"/>
              </w:rPr>
            </w:pPr>
            <w:r>
              <w:rPr>
                <w:color w:val="000000"/>
                <w:sz w:val="22"/>
              </w:rPr>
              <w:t>Mendoza</w:t>
            </w:r>
          </w:p>
        </w:tc>
      </w:tr>
      <w:tr w:rsidR="004E3660" w:rsidRPr="00F1381F" w14:paraId="56A0D5D2"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681D2709" w14:textId="77777777" w:rsidR="004E3660" w:rsidRPr="00F1381F" w:rsidRDefault="004E3660" w:rsidP="004E3660">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Siskiyous, College of the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416F6F44" w14:textId="012A6F24" w:rsidR="004E3660" w:rsidRPr="00F1381F" w:rsidRDefault="004E3660" w:rsidP="004E3660">
            <w:pPr>
              <w:rPr>
                <w:rFonts w:ascii="Calibri" w:eastAsia="Times New Roman" w:hAnsi="Calibri" w:cs="Calibri"/>
                <w:kern w:val="0"/>
                <w:szCs w:val="24"/>
                <w14:ligatures w14:val="none"/>
              </w:rPr>
            </w:pP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6B0C6C3A" w14:textId="1E74C807" w:rsidR="004E3660" w:rsidRPr="00F1381F" w:rsidRDefault="004E3660" w:rsidP="004E3660">
            <w:pPr>
              <w:rPr>
                <w:rFonts w:ascii="Calibri" w:eastAsia="Times New Roman" w:hAnsi="Calibri" w:cs="Calibri"/>
                <w:kern w:val="0"/>
                <w:szCs w:val="24"/>
                <w14:ligatures w14:val="none"/>
              </w:rPr>
            </w:pPr>
          </w:p>
        </w:tc>
      </w:tr>
      <w:tr w:rsidR="00A80C4F" w:rsidRPr="00F1381F" w14:paraId="60E43C7F"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7337B0BA" w14:textId="77777777" w:rsidR="00A80C4F" w:rsidRPr="00F1381F" w:rsidRDefault="00A80C4F" w:rsidP="00A80C4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Skyline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3A83CECD" w14:textId="1CFB9B07" w:rsidR="00A80C4F" w:rsidRPr="00F1381F" w:rsidRDefault="00A80C4F" w:rsidP="00A80C4F">
            <w:pPr>
              <w:rPr>
                <w:rFonts w:ascii="Calibri" w:eastAsia="Times New Roman" w:hAnsi="Calibri" w:cs="Calibri"/>
                <w:kern w:val="0"/>
                <w:szCs w:val="24"/>
                <w14:ligatures w14:val="none"/>
              </w:rPr>
            </w:pPr>
            <w:r>
              <w:rPr>
                <w:color w:val="000000"/>
                <w:sz w:val="22"/>
              </w:rPr>
              <w:t>Jessica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6DA1526E" w14:textId="7B770E44" w:rsidR="00A80C4F" w:rsidRPr="00F1381F" w:rsidRDefault="00A80C4F" w:rsidP="00A80C4F">
            <w:pPr>
              <w:rPr>
                <w:rFonts w:ascii="Calibri" w:eastAsia="Times New Roman" w:hAnsi="Calibri" w:cs="Calibri"/>
                <w:kern w:val="0"/>
                <w:szCs w:val="24"/>
                <w14:ligatures w14:val="none"/>
              </w:rPr>
            </w:pPr>
            <w:r>
              <w:rPr>
                <w:color w:val="000000"/>
                <w:sz w:val="22"/>
              </w:rPr>
              <w:t>Truglio</w:t>
            </w:r>
          </w:p>
        </w:tc>
      </w:tr>
      <w:tr w:rsidR="00A80C4F" w:rsidRPr="00F1381F" w14:paraId="0CB896CC"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2EF1BBC4" w14:textId="77777777" w:rsidR="00A80C4F" w:rsidRPr="00F1381F" w:rsidRDefault="00A80C4F" w:rsidP="00A80C4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Solano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0ABD09B3" w14:textId="216B45C9" w:rsidR="00A80C4F" w:rsidRPr="00F1381F" w:rsidRDefault="00A80C4F" w:rsidP="00A80C4F">
            <w:pPr>
              <w:rPr>
                <w:rFonts w:ascii="Calibri" w:eastAsia="Times New Roman" w:hAnsi="Calibri" w:cs="Calibri"/>
                <w:kern w:val="0"/>
                <w:szCs w:val="24"/>
                <w14:ligatures w14:val="none"/>
              </w:rPr>
            </w:pPr>
            <w:r>
              <w:rPr>
                <w:color w:val="000000"/>
                <w:sz w:val="22"/>
              </w:rPr>
              <w:t>Joshua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1129D40C" w14:textId="2B60E5E5" w:rsidR="00A80C4F" w:rsidRPr="00F1381F" w:rsidRDefault="00A80C4F" w:rsidP="00A80C4F">
            <w:pPr>
              <w:rPr>
                <w:rFonts w:ascii="Calibri" w:eastAsia="Times New Roman" w:hAnsi="Calibri" w:cs="Calibri"/>
                <w:kern w:val="0"/>
                <w:szCs w:val="24"/>
                <w14:ligatures w14:val="none"/>
              </w:rPr>
            </w:pPr>
            <w:r>
              <w:rPr>
                <w:color w:val="000000"/>
                <w:sz w:val="22"/>
              </w:rPr>
              <w:t>Scott</w:t>
            </w:r>
          </w:p>
        </w:tc>
      </w:tr>
      <w:tr w:rsidR="0062435B" w:rsidRPr="00F1381F" w14:paraId="49AF335E"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0BA41401" w14:textId="73977F76" w:rsidR="0062435B" w:rsidRPr="00F1381F" w:rsidRDefault="0062435B" w:rsidP="0062435B">
            <w:pPr>
              <w:rPr>
                <w:rFonts w:ascii="Calibri" w:eastAsia="Times New Roman" w:hAnsi="Calibri" w:cs="Calibri"/>
                <w:kern w:val="0"/>
                <w:szCs w:val="24"/>
                <w14:ligatures w14:val="none"/>
              </w:rPr>
            </w:pPr>
            <w:r>
              <w:rPr>
                <w:rFonts w:ascii="Calibri" w:eastAsia="Times New Roman" w:hAnsi="Calibri" w:cs="Calibri"/>
                <w:kern w:val="0"/>
                <w:szCs w:val="24"/>
                <w14:ligatures w14:val="none"/>
              </w:rPr>
              <w:t>Southwestern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30A019F2" w14:textId="00B697F9" w:rsidR="0062435B" w:rsidRDefault="0062435B" w:rsidP="0062435B">
            <w:pPr>
              <w:rPr>
                <w:color w:val="000000"/>
                <w:sz w:val="22"/>
              </w:rPr>
            </w:pPr>
            <w:r>
              <w:rPr>
                <w:color w:val="000000"/>
                <w:sz w:val="22"/>
              </w:rPr>
              <w:t xml:space="preserve">Andrew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09101982" w14:textId="77F0E094" w:rsidR="0062435B" w:rsidRDefault="0062435B" w:rsidP="0062435B">
            <w:pPr>
              <w:rPr>
                <w:color w:val="000000"/>
                <w:sz w:val="22"/>
              </w:rPr>
            </w:pPr>
            <w:proofErr w:type="spellStart"/>
            <w:r>
              <w:rPr>
                <w:color w:val="000000"/>
                <w:sz w:val="22"/>
              </w:rPr>
              <w:t>Rempt</w:t>
            </w:r>
            <w:proofErr w:type="spellEnd"/>
            <w:r>
              <w:rPr>
                <w:color w:val="000000"/>
                <w:sz w:val="22"/>
              </w:rPr>
              <w:t xml:space="preserve"> </w:t>
            </w:r>
          </w:p>
        </w:tc>
      </w:tr>
      <w:tr w:rsidR="0062435B" w:rsidRPr="00F1381F" w14:paraId="42B7E2C4"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207DB9B2" w14:textId="77777777" w:rsidR="0062435B" w:rsidRPr="00F1381F" w:rsidRDefault="0062435B" w:rsidP="0062435B">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Taft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1249B43D" w14:textId="6EE485A6" w:rsidR="0062435B" w:rsidRPr="00F1381F" w:rsidRDefault="0062435B" w:rsidP="0062435B">
            <w:pPr>
              <w:rPr>
                <w:rFonts w:ascii="Calibri" w:eastAsia="Times New Roman" w:hAnsi="Calibri" w:cs="Calibri"/>
                <w:kern w:val="0"/>
                <w:szCs w:val="24"/>
                <w14:ligatures w14:val="none"/>
              </w:rPr>
            </w:pPr>
            <w:r>
              <w:rPr>
                <w:color w:val="000000"/>
                <w:sz w:val="22"/>
              </w:rPr>
              <w:t xml:space="preserve">Michelle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30944215" w14:textId="4FE82EA9" w:rsidR="0062435B" w:rsidRPr="00F1381F" w:rsidRDefault="0062435B" w:rsidP="0062435B">
            <w:pPr>
              <w:rPr>
                <w:rFonts w:ascii="Calibri" w:eastAsia="Times New Roman" w:hAnsi="Calibri" w:cs="Calibri"/>
                <w:kern w:val="0"/>
                <w:szCs w:val="24"/>
                <w14:ligatures w14:val="none"/>
              </w:rPr>
            </w:pPr>
            <w:r>
              <w:rPr>
                <w:color w:val="000000"/>
                <w:sz w:val="22"/>
              </w:rPr>
              <w:t>Beasley</w:t>
            </w:r>
          </w:p>
        </w:tc>
      </w:tr>
      <w:tr w:rsidR="0062435B" w:rsidRPr="00F1381F" w14:paraId="708758EF"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23834974" w14:textId="77777777" w:rsidR="0062435B" w:rsidRPr="00F1381F" w:rsidRDefault="0062435B" w:rsidP="0062435B">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Ventura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7EA5AF38" w14:textId="2271DA8B" w:rsidR="0062435B" w:rsidRPr="00F1381F" w:rsidRDefault="0062435B" w:rsidP="0062435B">
            <w:pPr>
              <w:rPr>
                <w:rFonts w:ascii="Calibri" w:eastAsia="Times New Roman" w:hAnsi="Calibri" w:cs="Calibri"/>
                <w:kern w:val="0"/>
                <w:szCs w:val="24"/>
                <w14:ligatures w14:val="none"/>
              </w:rPr>
            </w:pP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353FED82" w14:textId="43B8C532" w:rsidR="0062435B" w:rsidRPr="00F1381F" w:rsidRDefault="0062435B" w:rsidP="0062435B">
            <w:pPr>
              <w:rPr>
                <w:rFonts w:ascii="Calibri" w:eastAsia="Times New Roman" w:hAnsi="Calibri" w:cs="Calibri"/>
                <w:kern w:val="0"/>
                <w:szCs w:val="24"/>
                <w14:ligatures w14:val="none"/>
              </w:rPr>
            </w:pPr>
          </w:p>
        </w:tc>
      </w:tr>
      <w:tr w:rsidR="0062435B" w:rsidRPr="00F1381F" w14:paraId="0529DF54"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36DE1CD1" w14:textId="6A02085E" w:rsidR="0062435B" w:rsidRPr="00F1381F" w:rsidRDefault="0062435B" w:rsidP="0062435B">
            <w:pPr>
              <w:rPr>
                <w:rFonts w:ascii="Calibri" w:eastAsia="Times New Roman" w:hAnsi="Calibri" w:cs="Calibri"/>
                <w:kern w:val="0"/>
                <w:szCs w:val="24"/>
                <w14:ligatures w14:val="none"/>
              </w:rPr>
            </w:pPr>
            <w:r>
              <w:rPr>
                <w:rFonts w:ascii="Calibri" w:eastAsia="Times New Roman" w:hAnsi="Calibri" w:cs="Calibri"/>
                <w:kern w:val="0"/>
                <w:szCs w:val="24"/>
                <w14:ligatures w14:val="none"/>
              </w:rPr>
              <w:t>Victor Valley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02044E7A" w14:textId="7282F5FC" w:rsidR="0062435B" w:rsidRDefault="0062435B" w:rsidP="0062435B">
            <w:pPr>
              <w:rPr>
                <w:color w:val="000000"/>
                <w:sz w:val="22"/>
              </w:rPr>
            </w:pPr>
            <w:r>
              <w:rPr>
                <w:color w:val="000000"/>
                <w:sz w:val="22"/>
              </w:rPr>
              <w:t xml:space="preserve">Harry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7A435BE8" w14:textId="2523BB89" w:rsidR="0062435B" w:rsidRDefault="0062435B" w:rsidP="0062435B">
            <w:pPr>
              <w:rPr>
                <w:color w:val="000000"/>
                <w:sz w:val="22"/>
              </w:rPr>
            </w:pPr>
            <w:r>
              <w:rPr>
                <w:color w:val="000000"/>
                <w:sz w:val="22"/>
              </w:rPr>
              <w:t xml:space="preserve">Bennett Jr. </w:t>
            </w:r>
          </w:p>
        </w:tc>
      </w:tr>
      <w:tr w:rsidR="0062435B" w:rsidRPr="00F1381F" w14:paraId="11A0C386"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136BB852" w14:textId="77777777" w:rsidR="0062435B" w:rsidRPr="00F1381F" w:rsidRDefault="0062435B" w:rsidP="0062435B">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West Los Angeles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268AE00E" w14:textId="237C4554" w:rsidR="0062435B" w:rsidRPr="00F1381F" w:rsidRDefault="0062435B" w:rsidP="0062435B">
            <w:pPr>
              <w:rPr>
                <w:rFonts w:ascii="Calibri" w:eastAsia="Times New Roman" w:hAnsi="Calibri" w:cs="Calibri"/>
                <w:kern w:val="0"/>
                <w:szCs w:val="24"/>
                <w14:ligatures w14:val="none"/>
              </w:rPr>
            </w:pPr>
            <w:r>
              <w:rPr>
                <w:sz w:val="20"/>
                <w:szCs w:val="20"/>
              </w:rPr>
              <w:t>Patricia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38C250C1" w14:textId="717C6002" w:rsidR="0062435B" w:rsidRPr="00F1381F" w:rsidRDefault="0062435B" w:rsidP="0062435B">
            <w:pPr>
              <w:rPr>
                <w:rFonts w:ascii="Calibri" w:eastAsia="Times New Roman" w:hAnsi="Calibri" w:cs="Calibri"/>
                <w:kern w:val="0"/>
                <w:szCs w:val="24"/>
                <w14:ligatures w14:val="none"/>
              </w:rPr>
            </w:pPr>
            <w:r>
              <w:rPr>
                <w:sz w:val="20"/>
                <w:szCs w:val="20"/>
              </w:rPr>
              <w:t>Zuk</w:t>
            </w:r>
          </w:p>
        </w:tc>
      </w:tr>
      <w:tr w:rsidR="0062435B" w:rsidRPr="00F1381F" w14:paraId="74A93220"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5F79A320" w14:textId="77777777" w:rsidR="0062435B" w:rsidRPr="00F1381F" w:rsidRDefault="0062435B" w:rsidP="0062435B">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West Valley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5873EC59" w14:textId="4B7C2B48" w:rsidR="0062435B" w:rsidRPr="00F1381F" w:rsidRDefault="0062435B" w:rsidP="0062435B">
            <w:pPr>
              <w:rPr>
                <w:rFonts w:ascii="Calibri" w:eastAsia="Times New Roman" w:hAnsi="Calibri" w:cs="Calibri"/>
                <w:kern w:val="0"/>
                <w:szCs w:val="24"/>
                <w14:ligatures w14:val="none"/>
              </w:rPr>
            </w:pPr>
            <w:r>
              <w:rPr>
                <w:color w:val="000000"/>
                <w:sz w:val="22"/>
              </w:rPr>
              <w:t>Meg</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723EF77C" w14:textId="75953B0D" w:rsidR="0062435B" w:rsidRPr="00F1381F" w:rsidRDefault="0062435B" w:rsidP="0062435B">
            <w:pPr>
              <w:rPr>
                <w:rFonts w:ascii="Calibri" w:eastAsia="Times New Roman" w:hAnsi="Calibri" w:cs="Calibri"/>
                <w:kern w:val="0"/>
                <w:szCs w:val="24"/>
                <w14:ligatures w14:val="none"/>
              </w:rPr>
            </w:pPr>
            <w:r>
              <w:rPr>
                <w:color w:val="000000"/>
                <w:sz w:val="22"/>
              </w:rPr>
              <w:t>Farrell</w:t>
            </w:r>
          </w:p>
        </w:tc>
      </w:tr>
      <w:tr w:rsidR="0062435B" w:rsidRPr="00F1381F" w14:paraId="2ED91AB5"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19F4ECFD" w14:textId="77777777" w:rsidR="0062435B" w:rsidRPr="00F1381F" w:rsidRDefault="0062435B" w:rsidP="0062435B">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lastRenderedPageBreak/>
              <w:t>Woodland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64346705" w14:textId="79075004" w:rsidR="0062435B" w:rsidRPr="00F1381F" w:rsidRDefault="0062435B" w:rsidP="0062435B">
            <w:pPr>
              <w:rPr>
                <w:rFonts w:ascii="Calibri" w:eastAsia="Times New Roman" w:hAnsi="Calibri" w:cs="Calibri"/>
                <w:kern w:val="0"/>
                <w:szCs w:val="24"/>
                <w14:ligatures w14:val="none"/>
              </w:rPr>
            </w:pPr>
            <w:r>
              <w:rPr>
                <w:color w:val="000000"/>
                <w:sz w:val="22"/>
              </w:rPr>
              <w:t>Aree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49612519" w14:textId="289591AE" w:rsidR="0062435B" w:rsidRPr="00F1381F" w:rsidRDefault="0062435B" w:rsidP="0062435B">
            <w:pPr>
              <w:rPr>
                <w:rFonts w:ascii="Calibri" w:eastAsia="Times New Roman" w:hAnsi="Calibri" w:cs="Calibri"/>
                <w:kern w:val="0"/>
                <w:szCs w:val="24"/>
                <w14:ligatures w14:val="none"/>
              </w:rPr>
            </w:pPr>
            <w:r>
              <w:rPr>
                <w:color w:val="000000"/>
                <w:sz w:val="22"/>
              </w:rPr>
              <w:t>Metz</w:t>
            </w:r>
          </w:p>
        </w:tc>
      </w:tr>
      <w:tr w:rsidR="0062435B" w:rsidRPr="00F1381F" w14:paraId="52BFCF06"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59E25770" w14:textId="77777777" w:rsidR="0062435B" w:rsidRPr="00F1381F" w:rsidRDefault="0062435B" w:rsidP="0062435B">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Yuba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5B413AAE" w14:textId="21882F18" w:rsidR="0062435B" w:rsidRPr="00F1381F" w:rsidRDefault="006D1A05" w:rsidP="0062435B">
            <w:pPr>
              <w:rPr>
                <w:rFonts w:ascii="Calibri" w:eastAsia="Times New Roman" w:hAnsi="Calibri" w:cs="Calibri"/>
                <w:kern w:val="0"/>
                <w:szCs w:val="24"/>
                <w14:ligatures w14:val="none"/>
              </w:rPr>
            </w:pPr>
            <w:r>
              <w:rPr>
                <w:color w:val="000000"/>
                <w:sz w:val="22"/>
              </w:rPr>
              <w:t>Melissa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7074FAA0" w14:textId="49C755A5" w:rsidR="0062435B" w:rsidRPr="00F1381F" w:rsidRDefault="006D1A05" w:rsidP="0062435B">
            <w:pPr>
              <w:rPr>
                <w:rFonts w:ascii="Calibri" w:eastAsia="Times New Roman" w:hAnsi="Calibri" w:cs="Calibri"/>
                <w:kern w:val="0"/>
                <w:szCs w:val="24"/>
                <w14:ligatures w14:val="none"/>
              </w:rPr>
            </w:pPr>
            <w:r>
              <w:rPr>
                <w:color w:val="000000"/>
                <w:sz w:val="22"/>
              </w:rPr>
              <w:t>Ha</w:t>
            </w:r>
          </w:p>
        </w:tc>
      </w:tr>
    </w:tbl>
    <w:p w14:paraId="2D45FD91" w14:textId="77777777" w:rsidR="0060573A" w:rsidRDefault="0060573A" w:rsidP="00E01AB3"/>
    <w:tbl>
      <w:tblPr>
        <w:tblStyle w:val="TableGrid"/>
        <w:tblW w:w="0" w:type="auto"/>
        <w:tblLook w:val="04A0" w:firstRow="1" w:lastRow="0" w:firstColumn="1" w:lastColumn="0" w:noHBand="0" w:noVBand="1"/>
      </w:tblPr>
      <w:tblGrid>
        <w:gridCol w:w="3116"/>
        <w:gridCol w:w="2639"/>
        <w:gridCol w:w="2880"/>
      </w:tblGrid>
      <w:tr w:rsidR="00E01AB3" w14:paraId="51F9E2DD" w14:textId="77777777" w:rsidTr="007F55CA">
        <w:tc>
          <w:tcPr>
            <w:tcW w:w="3116" w:type="dxa"/>
            <w:shd w:val="clear" w:color="auto" w:fill="BFBFBF" w:themeFill="background1" w:themeFillShade="BF"/>
          </w:tcPr>
          <w:p w14:paraId="53F2CEBC" w14:textId="77777777" w:rsidR="00E01AB3" w:rsidRPr="003A539F" w:rsidRDefault="00E01AB3" w:rsidP="001D35C2">
            <w:pPr>
              <w:rPr>
                <w:b/>
                <w:bCs/>
              </w:rPr>
            </w:pPr>
            <w:r w:rsidRPr="003A539F">
              <w:rPr>
                <w:b/>
                <w:bCs/>
              </w:rPr>
              <w:t>Executive Committee Member</w:t>
            </w:r>
          </w:p>
        </w:tc>
        <w:tc>
          <w:tcPr>
            <w:tcW w:w="2639" w:type="dxa"/>
            <w:shd w:val="clear" w:color="auto" w:fill="BFBFBF" w:themeFill="background1" w:themeFillShade="BF"/>
          </w:tcPr>
          <w:p w14:paraId="24F1ECEC" w14:textId="77777777" w:rsidR="00E01AB3" w:rsidRDefault="00E01AB3" w:rsidP="001D35C2">
            <w:r w:rsidRPr="0086469D">
              <w:rPr>
                <w:b/>
                <w:bCs/>
              </w:rPr>
              <w:t>First Name</w:t>
            </w:r>
          </w:p>
        </w:tc>
        <w:tc>
          <w:tcPr>
            <w:tcW w:w="2880" w:type="dxa"/>
            <w:shd w:val="clear" w:color="auto" w:fill="BFBFBF" w:themeFill="background1" w:themeFillShade="BF"/>
          </w:tcPr>
          <w:p w14:paraId="701ADF6A" w14:textId="77777777" w:rsidR="00E01AB3" w:rsidRDefault="00E01AB3" w:rsidP="001D35C2">
            <w:r w:rsidRPr="0086469D">
              <w:rPr>
                <w:b/>
                <w:bCs/>
              </w:rPr>
              <w:t>Last Name</w:t>
            </w:r>
          </w:p>
        </w:tc>
      </w:tr>
      <w:tr w:rsidR="001F6E14" w14:paraId="41F16A77" w14:textId="77777777" w:rsidTr="007F55CA">
        <w:trPr>
          <w:trHeight w:val="432"/>
        </w:trPr>
        <w:tc>
          <w:tcPr>
            <w:tcW w:w="3116" w:type="dxa"/>
          </w:tcPr>
          <w:p w14:paraId="7A810DC6" w14:textId="7AE4A712" w:rsidR="001F6E14" w:rsidRPr="00990BE6" w:rsidRDefault="001F6E14" w:rsidP="001F6E14">
            <w:pPr>
              <w:rPr>
                <w:szCs w:val="24"/>
              </w:rPr>
            </w:pPr>
            <w:r w:rsidRPr="00990BE6">
              <w:rPr>
                <w:szCs w:val="24"/>
              </w:rPr>
              <w:t>President</w:t>
            </w:r>
          </w:p>
        </w:tc>
        <w:tc>
          <w:tcPr>
            <w:tcW w:w="2639" w:type="dxa"/>
            <w:vAlign w:val="bottom"/>
          </w:tcPr>
          <w:p w14:paraId="43FA6ECC" w14:textId="5AF5A0A0" w:rsidR="001F6E14" w:rsidRPr="00990BE6" w:rsidRDefault="001F6E14" w:rsidP="001F6E14">
            <w:pPr>
              <w:rPr>
                <w:szCs w:val="24"/>
              </w:rPr>
            </w:pPr>
            <w:r>
              <w:rPr>
                <w:color w:val="000000"/>
                <w:sz w:val="22"/>
              </w:rPr>
              <w:t>Cheryl</w:t>
            </w:r>
          </w:p>
        </w:tc>
        <w:tc>
          <w:tcPr>
            <w:tcW w:w="2880" w:type="dxa"/>
            <w:vAlign w:val="bottom"/>
          </w:tcPr>
          <w:p w14:paraId="79796A56" w14:textId="1043E364" w:rsidR="001F6E14" w:rsidRPr="00990BE6" w:rsidRDefault="001F6E14" w:rsidP="001F6E14">
            <w:pPr>
              <w:rPr>
                <w:szCs w:val="24"/>
              </w:rPr>
            </w:pPr>
            <w:r>
              <w:rPr>
                <w:color w:val="000000"/>
                <w:sz w:val="22"/>
              </w:rPr>
              <w:t>Aschenbach</w:t>
            </w:r>
          </w:p>
        </w:tc>
      </w:tr>
      <w:tr w:rsidR="001F6E14" w14:paraId="7029FCE5" w14:textId="77777777" w:rsidTr="007F55CA">
        <w:trPr>
          <w:trHeight w:val="432"/>
        </w:trPr>
        <w:tc>
          <w:tcPr>
            <w:tcW w:w="3116" w:type="dxa"/>
          </w:tcPr>
          <w:p w14:paraId="658E2F92" w14:textId="77777777" w:rsidR="001F6E14" w:rsidRPr="00990BE6" w:rsidRDefault="001F6E14" w:rsidP="001F6E14">
            <w:pPr>
              <w:rPr>
                <w:szCs w:val="24"/>
              </w:rPr>
            </w:pPr>
            <w:r w:rsidRPr="00990BE6">
              <w:rPr>
                <w:szCs w:val="24"/>
              </w:rPr>
              <w:t>Vice President</w:t>
            </w:r>
          </w:p>
        </w:tc>
        <w:tc>
          <w:tcPr>
            <w:tcW w:w="2639" w:type="dxa"/>
            <w:vAlign w:val="bottom"/>
          </w:tcPr>
          <w:p w14:paraId="1AC3D3CD" w14:textId="4FE20C79" w:rsidR="001F6E14" w:rsidRPr="00990BE6" w:rsidRDefault="001F6E14" w:rsidP="001F6E14">
            <w:pPr>
              <w:rPr>
                <w:szCs w:val="24"/>
              </w:rPr>
            </w:pPr>
            <w:r>
              <w:rPr>
                <w:color w:val="000000"/>
                <w:sz w:val="22"/>
              </w:rPr>
              <w:t>LaTonya</w:t>
            </w:r>
          </w:p>
        </w:tc>
        <w:tc>
          <w:tcPr>
            <w:tcW w:w="2880" w:type="dxa"/>
            <w:vAlign w:val="bottom"/>
          </w:tcPr>
          <w:p w14:paraId="65A11831" w14:textId="216A17BA" w:rsidR="001F6E14" w:rsidRPr="00990BE6" w:rsidRDefault="001F6E14" w:rsidP="001F6E14">
            <w:pPr>
              <w:rPr>
                <w:szCs w:val="24"/>
              </w:rPr>
            </w:pPr>
            <w:r>
              <w:rPr>
                <w:color w:val="000000"/>
                <w:sz w:val="22"/>
              </w:rPr>
              <w:t>Parker</w:t>
            </w:r>
          </w:p>
        </w:tc>
      </w:tr>
      <w:tr w:rsidR="001F6E14" w14:paraId="0BCBA951" w14:textId="77777777" w:rsidTr="007F55CA">
        <w:trPr>
          <w:trHeight w:val="432"/>
        </w:trPr>
        <w:tc>
          <w:tcPr>
            <w:tcW w:w="3116" w:type="dxa"/>
          </w:tcPr>
          <w:p w14:paraId="15D7C904" w14:textId="77777777" w:rsidR="001F6E14" w:rsidRPr="00990BE6" w:rsidRDefault="001F6E14" w:rsidP="001F6E14">
            <w:pPr>
              <w:rPr>
                <w:szCs w:val="24"/>
              </w:rPr>
            </w:pPr>
            <w:r w:rsidRPr="00990BE6">
              <w:rPr>
                <w:szCs w:val="24"/>
              </w:rPr>
              <w:t>Secretary</w:t>
            </w:r>
          </w:p>
        </w:tc>
        <w:tc>
          <w:tcPr>
            <w:tcW w:w="2639" w:type="dxa"/>
            <w:vAlign w:val="bottom"/>
          </w:tcPr>
          <w:p w14:paraId="1247609E" w14:textId="1EDA463B" w:rsidR="001F6E14" w:rsidRPr="00990BE6" w:rsidRDefault="00CF766D" w:rsidP="001F6E14">
            <w:pPr>
              <w:rPr>
                <w:szCs w:val="24"/>
              </w:rPr>
            </w:pPr>
            <w:r>
              <w:rPr>
                <w:color w:val="000000"/>
                <w:sz w:val="22"/>
              </w:rPr>
              <w:t>Stephanie</w:t>
            </w:r>
          </w:p>
        </w:tc>
        <w:tc>
          <w:tcPr>
            <w:tcW w:w="2880" w:type="dxa"/>
            <w:vAlign w:val="bottom"/>
          </w:tcPr>
          <w:p w14:paraId="57524FC9" w14:textId="4D4C4839" w:rsidR="001F6E14" w:rsidRPr="00990BE6" w:rsidRDefault="00CF766D" w:rsidP="001F6E14">
            <w:pPr>
              <w:rPr>
                <w:szCs w:val="24"/>
              </w:rPr>
            </w:pPr>
            <w:r>
              <w:rPr>
                <w:color w:val="000000"/>
                <w:sz w:val="22"/>
              </w:rPr>
              <w:t>Curry</w:t>
            </w:r>
          </w:p>
        </w:tc>
      </w:tr>
      <w:tr w:rsidR="001F6E14" w14:paraId="5BE486C3" w14:textId="77777777" w:rsidTr="007F55CA">
        <w:trPr>
          <w:trHeight w:val="432"/>
        </w:trPr>
        <w:tc>
          <w:tcPr>
            <w:tcW w:w="3116" w:type="dxa"/>
          </w:tcPr>
          <w:p w14:paraId="1F2B2CFE" w14:textId="77777777" w:rsidR="001F6E14" w:rsidRPr="00990BE6" w:rsidRDefault="001F6E14" w:rsidP="001F6E14">
            <w:pPr>
              <w:rPr>
                <w:szCs w:val="24"/>
              </w:rPr>
            </w:pPr>
            <w:r w:rsidRPr="00990BE6">
              <w:rPr>
                <w:szCs w:val="24"/>
              </w:rPr>
              <w:t>Treasurer</w:t>
            </w:r>
          </w:p>
        </w:tc>
        <w:tc>
          <w:tcPr>
            <w:tcW w:w="2639" w:type="dxa"/>
            <w:vAlign w:val="bottom"/>
          </w:tcPr>
          <w:p w14:paraId="5669D853" w14:textId="72C15C41" w:rsidR="001F6E14" w:rsidRPr="00990BE6" w:rsidRDefault="00CF766D" w:rsidP="001F6E14">
            <w:pPr>
              <w:rPr>
                <w:szCs w:val="24"/>
              </w:rPr>
            </w:pPr>
            <w:r>
              <w:rPr>
                <w:szCs w:val="24"/>
              </w:rPr>
              <w:t>Robert L.</w:t>
            </w:r>
          </w:p>
        </w:tc>
        <w:tc>
          <w:tcPr>
            <w:tcW w:w="2880" w:type="dxa"/>
            <w:vAlign w:val="bottom"/>
          </w:tcPr>
          <w:p w14:paraId="359CD001" w14:textId="2C114DAE" w:rsidR="001F6E14" w:rsidRPr="00990BE6" w:rsidRDefault="00CF766D" w:rsidP="001F6E14">
            <w:pPr>
              <w:rPr>
                <w:szCs w:val="24"/>
              </w:rPr>
            </w:pPr>
            <w:r>
              <w:rPr>
                <w:color w:val="000000"/>
                <w:sz w:val="22"/>
              </w:rPr>
              <w:t>Stewart Jr.</w:t>
            </w:r>
          </w:p>
        </w:tc>
      </w:tr>
      <w:tr w:rsidR="001F6E14" w14:paraId="5948F4A8" w14:textId="77777777" w:rsidTr="007F55CA">
        <w:trPr>
          <w:trHeight w:val="432"/>
        </w:trPr>
        <w:tc>
          <w:tcPr>
            <w:tcW w:w="3116" w:type="dxa"/>
          </w:tcPr>
          <w:p w14:paraId="6912BCDB" w14:textId="77777777" w:rsidR="001F6E14" w:rsidRPr="00990BE6" w:rsidRDefault="001F6E14" w:rsidP="001F6E14">
            <w:pPr>
              <w:rPr>
                <w:szCs w:val="24"/>
              </w:rPr>
            </w:pPr>
            <w:r w:rsidRPr="00990BE6">
              <w:rPr>
                <w:szCs w:val="24"/>
              </w:rPr>
              <w:t>At-large Representative</w:t>
            </w:r>
          </w:p>
        </w:tc>
        <w:tc>
          <w:tcPr>
            <w:tcW w:w="2639" w:type="dxa"/>
            <w:vAlign w:val="bottom"/>
          </w:tcPr>
          <w:p w14:paraId="0EE40B7B" w14:textId="160AE994" w:rsidR="001F6E14" w:rsidRPr="00990BE6" w:rsidRDefault="001F6E14" w:rsidP="001F6E14">
            <w:pPr>
              <w:rPr>
                <w:szCs w:val="24"/>
              </w:rPr>
            </w:pPr>
            <w:r>
              <w:rPr>
                <w:color w:val="000000"/>
                <w:sz w:val="22"/>
              </w:rPr>
              <w:t>Karen</w:t>
            </w:r>
          </w:p>
        </w:tc>
        <w:tc>
          <w:tcPr>
            <w:tcW w:w="2880" w:type="dxa"/>
            <w:vAlign w:val="bottom"/>
          </w:tcPr>
          <w:p w14:paraId="5D993311" w14:textId="21361B9C" w:rsidR="001F6E14" w:rsidRPr="00990BE6" w:rsidRDefault="001F6E14" w:rsidP="001F6E14">
            <w:pPr>
              <w:rPr>
                <w:szCs w:val="24"/>
              </w:rPr>
            </w:pPr>
            <w:r>
              <w:rPr>
                <w:color w:val="000000"/>
                <w:sz w:val="22"/>
              </w:rPr>
              <w:t>Chow</w:t>
            </w:r>
          </w:p>
        </w:tc>
      </w:tr>
      <w:tr w:rsidR="001F6E14" w14:paraId="02D03A9B" w14:textId="77777777" w:rsidTr="007F55CA">
        <w:trPr>
          <w:trHeight w:val="432"/>
        </w:trPr>
        <w:tc>
          <w:tcPr>
            <w:tcW w:w="3116" w:type="dxa"/>
          </w:tcPr>
          <w:p w14:paraId="5EDEB6EF" w14:textId="77777777" w:rsidR="001F6E14" w:rsidRPr="00990BE6" w:rsidRDefault="001F6E14" w:rsidP="001F6E14">
            <w:pPr>
              <w:rPr>
                <w:szCs w:val="24"/>
              </w:rPr>
            </w:pPr>
            <w:r w:rsidRPr="00990BE6">
              <w:rPr>
                <w:szCs w:val="24"/>
              </w:rPr>
              <w:t>At-large Representative</w:t>
            </w:r>
          </w:p>
        </w:tc>
        <w:tc>
          <w:tcPr>
            <w:tcW w:w="2639" w:type="dxa"/>
            <w:vAlign w:val="bottom"/>
          </w:tcPr>
          <w:p w14:paraId="211CC9DD" w14:textId="144B1E27" w:rsidR="001F6E14" w:rsidRPr="00990BE6" w:rsidRDefault="00550529" w:rsidP="001F6E14">
            <w:pPr>
              <w:rPr>
                <w:szCs w:val="24"/>
              </w:rPr>
            </w:pPr>
            <w:r>
              <w:rPr>
                <w:color w:val="000000"/>
                <w:sz w:val="22"/>
              </w:rPr>
              <w:t>Christopher</w:t>
            </w:r>
            <w:r w:rsidR="001F6E14">
              <w:rPr>
                <w:color w:val="000000"/>
                <w:sz w:val="22"/>
              </w:rPr>
              <w:t xml:space="preserve"> </w:t>
            </w:r>
          </w:p>
        </w:tc>
        <w:tc>
          <w:tcPr>
            <w:tcW w:w="2880" w:type="dxa"/>
            <w:vAlign w:val="bottom"/>
          </w:tcPr>
          <w:p w14:paraId="6878F15C" w14:textId="3B285DCD" w:rsidR="001F6E14" w:rsidRPr="00990BE6" w:rsidRDefault="00550529" w:rsidP="001F6E14">
            <w:pPr>
              <w:rPr>
                <w:szCs w:val="24"/>
              </w:rPr>
            </w:pPr>
            <w:r>
              <w:rPr>
                <w:szCs w:val="24"/>
              </w:rPr>
              <w:t>Howerton</w:t>
            </w:r>
          </w:p>
        </w:tc>
      </w:tr>
      <w:tr w:rsidR="001F6E14" w14:paraId="37BCDFA2" w14:textId="77777777" w:rsidTr="007F55CA">
        <w:trPr>
          <w:trHeight w:val="432"/>
        </w:trPr>
        <w:tc>
          <w:tcPr>
            <w:tcW w:w="3116" w:type="dxa"/>
          </w:tcPr>
          <w:p w14:paraId="0964FA2B" w14:textId="77777777" w:rsidR="001F6E14" w:rsidRPr="00990BE6" w:rsidRDefault="001F6E14" w:rsidP="001F6E14">
            <w:pPr>
              <w:rPr>
                <w:szCs w:val="24"/>
              </w:rPr>
            </w:pPr>
            <w:r w:rsidRPr="00990BE6">
              <w:rPr>
                <w:szCs w:val="24"/>
              </w:rPr>
              <w:t>North Representative</w:t>
            </w:r>
          </w:p>
        </w:tc>
        <w:tc>
          <w:tcPr>
            <w:tcW w:w="2639" w:type="dxa"/>
            <w:vAlign w:val="bottom"/>
          </w:tcPr>
          <w:p w14:paraId="01DDFD66" w14:textId="11D96CED" w:rsidR="001F6E14" w:rsidRPr="00990BE6" w:rsidRDefault="001F6E14" w:rsidP="001F6E14">
            <w:pPr>
              <w:rPr>
                <w:szCs w:val="24"/>
              </w:rPr>
            </w:pPr>
            <w:r>
              <w:rPr>
                <w:color w:val="000000"/>
                <w:sz w:val="22"/>
              </w:rPr>
              <w:t>Eri</w:t>
            </w:r>
            <w:r w:rsidR="00550529">
              <w:rPr>
                <w:color w:val="000000"/>
                <w:sz w:val="22"/>
              </w:rPr>
              <w:t>c</w:t>
            </w:r>
          </w:p>
        </w:tc>
        <w:tc>
          <w:tcPr>
            <w:tcW w:w="2880" w:type="dxa"/>
            <w:vAlign w:val="bottom"/>
          </w:tcPr>
          <w:p w14:paraId="3C4ED7E2" w14:textId="3701D274" w:rsidR="001F6E14" w:rsidRPr="00990BE6" w:rsidRDefault="00550529" w:rsidP="001F6E14">
            <w:pPr>
              <w:rPr>
                <w:szCs w:val="24"/>
              </w:rPr>
            </w:pPr>
            <w:r>
              <w:rPr>
                <w:color w:val="000000"/>
                <w:sz w:val="22"/>
              </w:rPr>
              <w:t>Wada</w:t>
            </w:r>
          </w:p>
        </w:tc>
      </w:tr>
      <w:tr w:rsidR="001F6E14" w14:paraId="5093B2D9" w14:textId="77777777" w:rsidTr="007F55CA">
        <w:trPr>
          <w:trHeight w:val="432"/>
        </w:trPr>
        <w:tc>
          <w:tcPr>
            <w:tcW w:w="3116" w:type="dxa"/>
          </w:tcPr>
          <w:p w14:paraId="63DC2E54" w14:textId="77777777" w:rsidR="001F6E14" w:rsidRPr="00990BE6" w:rsidRDefault="001F6E14" w:rsidP="001F6E14">
            <w:pPr>
              <w:rPr>
                <w:szCs w:val="24"/>
              </w:rPr>
            </w:pPr>
            <w:r w:rsidRPr="00990BE6">
              <w:rPr>
                <w:szCs w:val="24"/>
              </w:rPr>
              <w:t>North Representative</w:t>
            </w:r>
          </w:p>
        </w:tc>
        <w:tc>
          <w:tcPr>
            <w:tcW w:w="2639" w:type="dxa"/>
            <w:vAlign w:val="bottom"/>
          </w:tcPr>
          <w:p w14:paraId="10EA3C9D" w14:textId="06B39893" w:rsidR="001F6E14" w:rsidRPr="00990BE6" w:rsidRDefault="00550529" w:rsidP="001F6E14">
            <w:pPr>
              <w:rPr>
                <w:szCs w:val="24"/>
              </w:rPr>
            </w:pPr>
            <w:r>
              <w:rPr>
                <w:color w:val="000000"/>
                <w:sz w:val="22"/>
              </w:rPr>
              <w:t>Mitra</w:t>
            </w:r>
          </w:p>
        </w:tc>
        <w:tc>
          <w:tcPr>
            <w:tcW w:w="2880" w:type="dxa"/>
            <w:vAlign w:val="bottom"/>
          </w:tcPr>
          <w:p w14:paraId="0523FC53" w14:textId="034572D1" w:rsidR="001F6E14" w:rsidRPr="00990BE6" w:rsidRDefault="00550529" w:rsidP="001F6E14">
            <w:pPr>
              <w:rPr>
                <w:szCs w:val="24"/>
              </w:rPr>
            </w:pPr>
            <w:r>
              <w:rPr>
                <w:color w:val="000000"/>
                <w:sz w:val="22"/>
              </w:rPr>
              <w:t>Sapienza</w:t>
            </w:r>
          </w:p>
        </w:tc>
      </w:tr>
      <w:tr w:rsidR="001F6E14" w14:paraId="4E34A501" w14:textId="77777777" w:rsidTr="007F55CA">
        <w:trPr>
          <w:trHeight w:val="432"/>
        </w:trPr>
        <w:tc>
          <w:tcPr>
            <w:tcW w:w="3116" w:type="dxa"/>
          </w:tcPr>
          <w:p w14:paraId="4D411F99" w14:textId="77777777" w:rsidR="001F6E14" w:rsidRPr="00990BE6" w:rsidRDefault="001F6E14" w:rsidP="001F6E14">
            <w:pPr>
              <w:rPr>
                <w:szCs w:val="24"/>
              </w:rPr>
            </w:pPr>
            <w:r w:rsidRPr="00990BE6">
              <w:rPr>
                <w:szCs w:val="24"/>
              </w:rPr>
              <w:t>South Representative</w:t>
            </w:r>
          </w:p>
        </w:tc>
        <w:tc>
          <w:tcPr>
            <w:tcW w:w="2639" w:type="dxa"/>
            <w:vAlign w:val="bottom"/>
          </w:tcPr>
          <w:p w14:paraId="56661895" w14:textId="421EFA6F" w:rsidR="001F6E14" w:rsidRPr="00990BE6" w:rsidRDefault="00550529" w:rsidP="001F6E14">
            <w:pPr>
              <w:rPr>
                <w:szCs w:val="24"/>
              </w:rPr>
            </w:pPr>
            <w:r>
              <w:rPr>
                <w:color w:val="000000"/>
                <w:sz w:val="22"/>
              </w:rPr>
              <w:t>Carlos</w:t>
            </w:r>
          </w:p>
        </w:tc>
        <w:tc>
          <w:tcPr>
            <w:tcW w:w="2880" w:type="dxa"/>
            <w:vAlign w:val="bottom"/>
          </w:tcPr>
          <w:p w14:paraId="25C9EA77" w14:textId="43B66F3A" w:rsidR="001F6E14" w:rsidRPr="00990BE6" w:rsidRDefault="00550529" w:rsidP="001F6E14">
            <w:pPr>
              <w:rPr>
                <w:szCs w:val="24"/>
              </w:rPr>
            </w:pPr>
            <w:r>
              <w:rPr>
                <w:color w:val="000000"/>
                <w:sz w:val="22"/>
              </w:rPr>
              <w:t>Guerrero</w:t>
            </w:r>
          </w:p>
        </w:tc>
      </w:tr>
      <w:tr w:rsidR="001F6E14" w14:paraId="5CAFA9FC" w14:textId="77777777" w:rsidTr="007F55CA">
        <w:trPr>
          <w:trHeight w:val="432"/>
        </w:trPr>
        <w:tc>
          <w:tcPr>
            <w:tcW w:w="3116" w:type="dxa"/>
          </w:tcPr>
          <w:p w14:paraId="54AB0608" w14:textId="77777777" w:rsidR="001F6E14" w:rsidRPr="00990BE6" w:rsidRDefault="001F6E14" w:rsidP="001F6E14">
            <w:pPr>
              <w:rPr>
                <w:szCs w:val="24"/>
              </w:rPr>
            </w:pPr>
            <w:r w:rsidRPr="00990BE6">
              <w:rPr>
                <w:szCs w:val="24"/>
              </w:rPr>
              <w:t>South Representative</w:t>
            </w:r>
          </w:p>
        </w:tc>
        <w:tc>
          <w:tcPr>
            <w:tcW w:w="2639" w:type="dxa"/>
            <w:vAlign w:val="bottom"/>
          </w:tcPr>
          <w:p w14:paraId="4013459C" w14:textId="1C571903" w:rsidR="001F6E14" w:rsidRPr="00990BE6" w:rsidRDefault="00550529" w:rsidP="001F6E14">
            <w:pPr>
              <w:rPr>
                <w:szCs w:val="24"/>
              </w:rPr>
            </w:pPr>
            <w:r>
              <w:rPr>
                <w:color w:val="000000"/>
                <w:sz w:val="22"/>
              </w:rPr>
              <w:t>Luke</w:t>
            </w:r>
          </w:p>
        </w:tc>
        <w:tc>
          <w:tcPr>
            <w:tcW w:w="2880" w:type="dxa"/>
            <w:vAlign w:val="bottom"/>
          </w:tcPr>
          <w:p w14:paraId="3E62504F" w14:textId="5074B5FD" w:rsidR="001F6E14" w:rsidRPr="00990BE6" w:rsidRDefault="00550529" w:rsidP="001F6E14">
            <w:pPr>
              <w:rPr>
                <w:szCs w:val="24"/>
              </w:rPr>
            </w:pPr>
            <w:r>
              <w:rPr>
                <w:color w:val="000000"/>
                <w:sz w:val="22"/>
              </w:rPr>
              <w:t>Lara</w:t>
            </w:r>
          </w:p>
        </w:tc>
      </w:tr>
      <w:tr w:rsidR="001F6E14" w14:paraId="7D6ACB4A" w14:textId="77777777" w:rsidTr="007F55CA">
        <w:trPr>
          <w:trHeight w:val="432"/>
        </w:trPr>
        <w:tc>
          <w:tcPr>
            <w:tcW w:w="3116" w:type="dxa"/>
          </w:tcPr>
          <w:p w14:paraId="5A1906BB" w14:textId="77777777" w:rsidR="001F6E14" w:rsidRPr="00990BE6" w:rsidRDefault="001F6E14" w:rsidP="001F6E14">
            <w:pPr>
              <w:rPr>
                <w:szCs w:val="24"/>
              </w:rPr>
            </w:pPr>
            <w:r w:rsidRPr="00990BE6">
              <w:rPr>
                <w:szCs w:val="24"/>
              </w:rPr>
              <w:t>Area A Representative</w:t>
            </w:r>
          </w:p>
        </w:tc>
        <w:tc>
          <w:tcPr>
            <w:tcW w:w="2639" w:type="dxa"/>
            <w:vAlign w:val="bottom"/>
          </w:tcPr>
          <w:p w14:paraId="0D241A24" w14:textId="7D782093" w:rsidR="001F6E14" w:rsidRPr="00990BE6" w:rsidRDefault="001F6E14" w:rsidP="001F6E14">
            <w:pPr>
              <w:rPr>
                <w:szCs w:val="24"/>
              </w:rPr>
            </w:pPr>
            <w:r>
              <w:rPr>
                <w:color w:val="000000"/>
                <w:sz w:val="22"/>
              </w:rPr>
              <w:t>Juan</w:t>
            </w:r>
          </w:p>
        </w:tc>
        <w:tc>
          <w:tcPr>
            <w:tcW w:w="2880" w:type="dxa"/>
            <w:vAlign w:val="bottom"/>
          </w:tcPr>
          <w:p w14:paraId="3D0B8143" w14:textId="13B47D22" w:rsidR="001F6E14" w:rsidRPr="00990BE6" w:rsidRDefault="001F6E14" w:rsidP="001F6E14">
            <w:pPr>
              <w:rPr>
                <w:szCs w:val="24"/>
              </w:rPr>
            </w:pPr>
            <w:r>
              <w:rPr>
                <w:color w:val="000000"/>
                <w:sz w:val="22"/>
              </w:rPr>
              <w:t>Arzola</w:t>
            </w:r>
          </w:p>
        </w:tc>
      </w:tr>
      <w:tr w:rsidR="001F6E14" w14:paraId="720D83F4" w14:textId="77777777" w:rsidTr="007F55CA">
        <w:trPr>
          <w:trHeight w:val="432"/>
        </w:trPr>
        <w:tc>
          <w:tcPr>
            <w:tcW w:w="3116" w:type="dxa"/>
          </w:tcPr>
          <w:p w14:paraId="0505E1ED" w14:textId="77777777" w:rsidR="001F6E14" w:rsidRPr="00990BE6" w:rsidRDefault="001F6E14" w:rsidP="001F6E14">
            <w:pPr>
              <w:rPr>
                <w:szCs w:val="24"/>
              </w:rPr>
            </w:pPr>
            <w:r w:rsidRPr="00990BE6">
              <w:rPr>
                <w:szCs w:val="24"/>
              </w:rPr>
              <w:t>Area B Representative</w:t>
            </w:r>
          </w:p>
        </w:tc>
        <w:tc>
          <w:tcPr>
            <w:tcW w:w="2639" w:type="dxa"/>
            <w:vAlign w:val="bottom"/>
          </w:tcPr>
          <w:p w14:paraId="4DB9074E" w14:textId="183AC353" w:rsidR="001F6E14" w:rsidRPr="00990BE6" w:rsidRDefault="00550529" w:rsidP="001F6E14">
            <w:pPr>
              <w:rPr>
                <w:szCs w:val="24"/>
              </w:rPr>
            </w:pPr>
            <w:r>
              <w:rPr>
                <w:color w:val="000000"/>
                <w:sz w:val="22"/>
              </w:rPr>
              <w:t>Mark</w:t>
            </w:r>
            <w:r w:rsidR="001F6E14">
              <w:rPr>
                <w:color w:val="000000"/>
                <w:sz w:val="22"/>
              </w:rPr>
              <w:t xml:space="preserve"> </w:t>
            </w:r>
          </w:p>
        </w:tc>
        <w:tc>
          <w:tcPr>
            <w:tcW w:w="2880" w:type="dxa"/>
            <w:vAlign w:val="bottom"/>
          </w:tcPr>
          <w:p w14:paraId="4E5A1CBE" w14:textId="4669C3D6" w:rsidR="001F6E14" w:rsidRPr="00990BE6" w:rsidRDefault="00550529" w:rsidP="001F6E14">
            <w:pPr>
              <w:rPr>
                <w:szCs w:val="24"/>
              </w:rPr>
            </w:pPr>
            <w:r>
              <w:rPr>
                <w:color w:val="000000"/>
                <w:sz w:val="22"/>
              </w:rPr>
              <w:t>Osea</w:t>
            </w:r>
          </w:p>
        </w:tc>
      </w:tr>
      <w:tr w:rsidR="001F6E14" w14:paraId="4CC9D4FF" w14:textId="77777777" w:rsidTr="007F55CA">
        <w:trPr>
          <w:trHeight w:val="432"/>
        </w:trPr>
        <w:tc>
          <w:tcPr>
            <w:tcW w:w="3116" w:type="dxa"/>
          </w:tcPr>
          <w:p w14:paraId="0B8C2D2B" w14:textId="77777777" w:rsidR="001F6E14" w:rsidRPr="00990BE6" w:rsidRDefault="001F6E14" w:rsidP="001F6E14">
            <w:pPr>
              <w:rPr>
                <w:szCs w:val="24"/>
              </w:rPr>
            </w:pPr>
            <w:r w:rsidRPr="00990BE6">
              <w:rPr>
                <w:szCs w:val="24"/>
              </w:rPr>
              <w:t>Area C Representative</w:t>
            </w:r>
          </w:p>
        </w:tc>
        <w:tc>
          <w:tcPr>
            <w:tcW w:w="2639" w:type="dxa"/>
            <w:vAlign w:val="bottom"/>
          </w:tcPr>
          <w:p w14:paraId="1BAD721C" w14:textId="436F9CA6" w:rsidR="001F6E14" w:rsidRPr="00990BE6" w:rsidRDefault="00550529" w:rsidP="001F6E14">
            <w:pPr>
              <w:rPr>
                <w:szCs w:val="24"/>
              </w:rPr>
            </w:pPr>
            <w:r>
              <w:rPr>
                <w:color w:val="000000"/>
                <w:sz w:val="22"/>
              </w:rPr>
              <w:t>Erik</w:t>
            </w:r>
          </w:p>
        </w:tc>
        <w:tc>
          <w:tcPr>
            <w:tcW w:w="2880" w:type="dxa"/>
            <w:vAlign w:val="bottom"/>
          </w:tcPr>
          <w:p w14:paraId="67FF6B72" w14:textId="40DB68E4" w:rsidR="001F6E14" w:rsidRPr="00990BE6" w:rsidRDefault="00550529" w:rsidP="001F6E14">
            <w:pPr>
              <w:rPr>
                <w:szCs w:val="24"/>
              </w:rPr>
            </w:pPr>
            <w:r>
              <w:rPr>
                <w:color w:val="000000"/>
                <w:sz w:val="22"/>
              </w:rPr>
              <w:t>Reese</w:t>
            </w:r>
          </w:p>
        </w:tc>
      </w:tr>
      <w:tr w:rsidR="001F6E14" w14:paraId="58406FD8" w14:textId="77777777" w:rsidTr="007F55CA">
        <w:trPr>
          <w:trHeight w:val="432"/>
        </w:trPr>
        <w:tc>
          <w:tcPr>
            <w:tcW w:w="3116" w:type="dxa"/>
          </w:tcPr>
          <w:p w14:paraId="75FD19A5" w14:textId="77777777" w:rsidR="001F6E14" w:rsidRPr="00990BE6" w:rsidRDefault="001F6E14" w:rsidP="001F6E14">
            <w:pPr>
              <w:rPr>
                <w:szCs w:val="24"/>
              </w:rPr>
            </w:pPr>
            <w:r w:rsidRPr="00990BE6">
              <w:rPr>
                <w:szCs w:val="24"/>
              </w:rPr>
              <w:t>Area D Representative</w:t>
            </w:r>
          </w:p>
        </w:tc>
        <w:tc>
          <w:tcPr>
            <w:tcW w:w="2639" w:type="dxa"/>
            <w:vAlign w:val="bottom"/>
          </w:tcPr>
          <w:p w14:paraId="09CDB513" w14:textId="18903C53" w:rsidR="001F6E14" w:rsidRPr="00990BE6" w:rsidRDefault="00550529" w:rsidP="001F6E14">
            <w:pPr>
              <w:rPr>
                <w:szCs w:val="24"/>
              </w:rPr>
            </w:pPr>
            <w:r>
              <w:rPr>
                <w:color w:val="000000"/>
                <w:sz w:val="22"/>
              </w:rPr>
              <w:t>Maria</w:t>
            </w:r>
            <w:r w:rsidR="00CD3B05">
              <w:rPr>
                <w:color w:val="000000"/>
                <w:sz w:val="22"/>
              </w:rPr>
              <w:t>-</w:t>
            </w:r>
            <w:r>
              <w:rPr>
                <w:color w:val="000000"/>
                <w:sz w:val="22"/>
              </w:rPr>
              <w:t>Jose</w:t>
            </w:r>
          </w:p>
        </w:tc>
        <w:tc>
          <w:tcPr>
            <w:tcW w:w="2880" w:type="dxa"/>
            <w:vAlign w:val="bottom"/>
          </w:tcPr>
          <w:p w14:paraId="33A83D32" w14:textId="3C22B5B3" w:rsidR="001F6E14" w:rsidRPr="00CF766D" w:rsidRDefault="00CF766D" w:rsidP="001F6E14">
            <w:pPr>
              <w:rPr>
                <w:color w:val="000000"/>
                <w:sz w:val="22"/>
              </w:rPr>
            </w:pPr>
            <w:r>
              <w:rPr>
                <w:color w:val="000000"/>
                <w:sz w:val="22"/>
              </w:rPr>
              <w:t>Zeledon</w:t>
            </w:r>
            <w:r w:rsidR="00CD3B05">
              <w:rPr>
                <w:color w:val="000000"/>
                <w:sz w:val="22"/>
              </w:rPr>
              <w:t>-</w:t>
            </w:r>
            <w:r>
              <w:rPr>
                <w:color w:val="000000"/>
                <w:sz w:val="22"/>
              </w:rPr>
              <w:t>Perez</w:t>
            </w:r>
          </w:p>
        </w:tc>
      </w:tr>
    </w:tbl>
    <w:p w14:paraId="3B0F92A7" w14:textId="77777777" w:rsidR="00E01AB3" w:rsidRPr="00492385" w:rsidRDefault="00E01AB3" w:rsidP="00E01AB3"/>
    <w:p w14:paraId="4225D83D" w14:textId="77777777" w:rsidR="00932ADB" w:rsidRPr="00294B9C" w:rsidRDefault="00932ADB" w:rsidP="00261562"/>
    <w:sectPr w:rsidR="00932ADB" w:rsidRPr="00294B9C" w:rsidSect="002064C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4E75F" w14:textId="77777777" w:rsidR="00D510B8" w:rsidRDefault="00D510B8" w:rsidP="00BF1BF5">
      <w:pPr>
        <w:spacing w:after="0" w:line="240" w:lineRule="auto"/>
      </w:pPr>
      <w:r>
        <w:separator/>
      </w:r>
    </w:p>
  </w:endnote>
  <w:endnote w:type="continuationSeparator" w:id="0">
    <w:p w14:paraId="3FA726C5" w14:textId="77777777" w:rsidR="00D510B8" w:rsidRDefault="00D510B8" w:rsidP="00BF1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4361047"/>
      <w:docPartObj>
        <w:docPartGallery w:val="Page Numbers (Bottom of Page)"/>
        <w:docPartUnique/>
      </w:docPartObj>
    </w:sdtPr>
    <w:sdtEndPr>
      <w:rPr>
        <w:noProof/>
      </w:rPr>
    </w:sdtEndPr>
    <w:sdtContent>
      <w:p w14:paraId="369C8C8D" w14:textId="11FD137E" w:rsidR="00262159" w:rsidRDefault="002621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66ED56" w14:textId="77777777" w:rsidR="00AE6537" w:rsidRDefault="00AE6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CAD24" w14:textId="77777777" w:rsidR="00D510B8" w:rsidRDefault="00D510B8" w:rsidP="00BF1BF5">
      <w:pPr>
        <w:spacing w:after="0" w:line="240" w:lineRule="auto"/>
      </w:pPr>
      <w:r>
        <w:separator/>
      </w:r>
    </w:p>
  </w:footnote>
  <w:footnote w:type="continuationSeparator" w:id="0">
    <w:p w14:paraId="4A61E252" w14:textId="77777777" w:rsidR="00D510B8" w:rsidRDefault="00D510B8" w:rsidP="00BF1BF5">
      <w:pPr>
        <w:spacing w:after="0" w:line="240" w:lineRule="auto"/>
      </w:pPr>
      <w:r>
        <w:continuationSeparator/>
      </w:r>
    </w:p>
  </w:footnote>
  <w:footnote w:id="1">
    <w:p w14:paraId="422F84A4" w14:textId="77777777" w:rsidR="00F14CBE" w:rsidRDefault="00F14CBE" w:rsidP="00F14CBE">
      <w:pPr>
        <w:pStyle w:val="FootnoteText"/>
      </w:pPr>
      <w:r>
        <w:rPr>
          <w:rStyle w:val="FootnoteReference"/>
        </w:rPr>
        <w:footnoteRef/>
      </w:r>
      <w:r>
        <w:t xml:space="preserve"> </w:t>
      </w:r>
      <w:hyperlink r:id="rId1" w:history="1">
        <w:r w:rsidRPr="008D2DA5">
          <w:rPr>
            <w:rStyle w:val="Hyperlink"/>
          </w:rPr>
          <w:t>https://www.kqed.org/news/11956322/california-community-college-students-face-tough-barriers-when-transferring</w:t>
        </w:r>
      </w:hyperlink>
    </w:p>
  </w:footnote>
  <w:footnote w:id="2">
    <w:p w14:paraId="63152D5D" w14:textId="072118E6" w:rsidR="00F6632F" w:rsidRDefault="00F6632F">
      <w:pPr>
        <w:pStyle w:val="FootnoteText"/>
      </w:pPr>
      <w:r>
        <w:rPr>
          <w:rStyle w:val="FootnoteReference"/>
        </w:rPr>
        <w:footnoteRef/>
      </w:r>
      <w:r>
        <w:t xml:space="preserve"> </w:t>
      </w:r>
      <w:hyperlink r:id="rId2" w:history="1">
        <w:r w:rsidRPr="0085598C">
          <w:rPr>
            <w:rStyle w:val="Hyperlink"/>
          </w:rPr>
          <w:t>https://legiscan.com/CA/text/AB1111/id/2436122</w:t>
        </w:r>
      </w:hyperlink>
      <w:r>
        <w:t xml:space="preserve"> </w:t>
      </w:r>
    </w:p>
  </w:footnote>
  <w:footnote w:id="3">
    <w:p w14:paraId="340055CE" w14:textId="77777777" w:rsidR="00F14CBE" w:rsidRDefault="00F14CBE" w:rsidP="00F14CBE">
      <w:pPr>
        <w:pStyle w:val="FootnoteText"/>
      </w:pPr>
      <w:r>
        <w:rPr>
          <w:rStyle w:val="FootnoteReference"/>
        </w:rPr>
        <w:footnoteRef/>
      </w:r>
      <w:r>
        <w:t xml:space="preserve"> </w:t>
      </w:r>
      <w:hyperlink r:id="rId3" w:history="1">
        <w:r w:rsidRPr="008D2DA5">
          <w:rPr>
            <w:rStyle w:val="Hyperlink"/>
          </w:rPr>
          <w:t>https://www.auditor.ca.gov/wp-content/uploads/2024/09/2023-123-Report-WP.pdf</w:t>
        </w:r>
      </w:hyperlink>
      <w:r>
        <w:t xml:space="preserve"> </w:t>
      </w:r>
    </w:p>
  </w:footnote>
  <w:footnote w:id="4">
    <w:p w14:paraId="29E89ACE" w14:textId="77777777" w:rsidR="009708F2" w:rsidRDefault="009708F2" w:rsidP="009708F2">
      <w:pPr>
        <w:pStyle w:val="FootnoteText"/>
      </w:pPr>
      <w:r>
        <w:rPr>
          <w:rStyle w:val="FootnoteReference"/>
        </w:rPr>
        <w:footnoteRef/>
      </w:r>
      <w:r>
        <w:t xml:space="preserve"> </w:t>
      </w:r>
      <w:r w:rsidRPr="002465E9">
        <w:t>San Diego Mesa College Chicana/o History courses were denied CSU GE Area F inclusion. The San Diego Mesa College faculty addressed the denial comments after the first denial and resubmitted only to be denied again. After two submissions without acquiring approval, the San Diego Mesa College Chicana/o Studies faculty decided to suspend their effort</w:t>
      </w:r>
    </w:p>
  </w:footnote>
  <w:footnote w:id="5">
    <w:p w14:paraId="5B87A73A" w14:textId="10774868" w:rsidR="009708F2" w:rsidRDefault="009708F2" w:rsidP="009708F2">
      <w:pPr>
        <w:pStyle w:val="FootnoteText"/>
      </w:pPr>
      <w:r>
        <w:rPr>
          <w:rStyle w:val="FootnoteReference"/>
        </w:rPr>
        <w:footnoteRef/>
      </w:r>
      <w:r>
        <w:t xml:space="preserve"> </w:t>
      </w:r>
      <w:r w:rsidRPr="002465E9">
        <w:t>Ohlone College CHS 101 and CHS 106A are both approved for Sonoma State’s Critical Race Studies Graduation Requirement</w:t>
      </w:r>
      <w:r w:rsidRPr="002465E9">
        <w:footnoteRef/>
      </w:r>
      <w:r w:rsidRPr="002465E9">
        <w:t>, CHS 101, ETHN 100, ETHN 105, ETHN 114A, and ETHN 114B are approved for UCSB’s College of Engineering, and College of Letters and Science GE Ethnicity Requirement</w:t>
      </w:r>
      <w:r w:rsidRPr="002465E9">
        <w:footnoteRef/>
      </w:r>
      <w:r w:rsidRPr="002465E9">
        <w:t xml:space="preserve"> and CHS 101 and ETHN 100 are approved for UCSC’s Ethnicity and Race General Education Requirement</w:t>
      </w:r>
      <w:r w:rsidRPr="002465E9">
        <w:footnoteRef/>
      </w:r>
      <w:r w:rsidRPr="002465E9">
        <w:t>. These courses were initially approved for CSU GE Area F but now have a Fall 2026 phase-out term. The CSUCO required that the courses be reviewed again for 2024</w:t>
      </w:r>
      <w:r w:rsidR="00A57E3C">
        <w:t>,</w:t>
      </w:r>
      <w:r w:rsidRPr="002465E9">
        <w:t xml:space="preserve"> but no reason for the </w:t>
      </w:r>
      <w:r w:rsidR="00B6177C" w:rsidRPr="002465E9">
        <w:t>re</w:t>
      </w:r>
      <w:r w:rsidR="00B6177C">
        <w:t xml:space="preserve">view </w:t>
      </w:r>
      <w:r w:rsidRPr="002465E9">
        <w:t>was given</w:t>
      </w:r>
      <w:r w:rsidR="00B6177C">
        <w:t>,</w:t>
      </w:r>
      <w:r w:rsidRPr="002465E9">
        <w:t xml:space="preserve"> and the course</w:t>
      </w:r>
      <w:r w:rsidR="00B6177C">
        <w:t>s</w:t>
      </w:r>
      <w:r w:rsidRPr="002465E9">
        <w:t xml:space="preserve"> were subsequently denied approval</w:t>
      </w:r>
      <w:r>
        <w:t>.</w:t>
      </w:r>
    </w:p>
  </w:footnote>
  <w:footnote w:id="6">
    <w:p w14:paraId="7E274677" w14:textId="466EC40C" w:rsidR="009708F2" w:rsidRDefault="009708F2" w:rsidP="009708F2">
      <w:pPr>
        <w:pStyle w:val="FootnoteText"/>
      </w:pPr>
      <w:r>
        <w:rPr>
          <w:rStyle w:val="FootnoteReference"/>
        </w:rPr>
        <w:footnoteRef/>
      </w:r>
      <w:r>
        <w:t xml:space="preserve"> </w:t>
      </w:r>
      <w:r w:rsidRPr="002465E9">
        <w:t>San Diego State University (SDSU) students took San Diego Mesa College ethnic studies courses that were approved for meeting the ethnic studies requirements at SDSU</w:t>
      </w:r>
      <w:r w:rsidR="00A57E3C">
        <w:t>,</w:t>
      </w:r>
      <w:r w:rsidRPr="002465E9">
        <w:t xml:space="preserve"> but the San Diego Mesa College courses were not approved for CSU GE Area F</w:t>
      </w:r>
    </w:p>
  </w:footnote>
  <w:footnote w:id="7">
    <w:p w14:paraId="1A515697" w14:textId="77777777" w:rsidR="00C4417D" w:rsidRDefault="00C4417D" w:rsidP="00C4417D">
      <w:pPr>
        <w:pStyle w:val="FootnoteText"/>
      </w:pPr>
      <w:r>
        <w:rPr>
          <w:rStyle w:val="FootnoteReference"/>
        </w:rPr>
        <w:footnoteRef/>
      </w:r>
      <w:r>
        <w:t xml:space="preserve"> </w:t>
      </w:r>
      <w:hyperlink r:id="rId4" w:history="1">
        <w:r w:rsidRPr="00E771A3">
          <w:rPr>
            <w:rStyle w:val="Hyperlink"/>
            <w:rFonts w:eastAsia="Aptos" w:cstheme="minorHAnsi"/>
            <w:szCs w:val="22"/>
          </w:rPr>
          <w:t>California General Education Transfer Curriculum (Cal-GETC) Implementation Guidance Memo dated February 14 2024</w:t>
        </w:r>
      </w:hyperlink>
      <w:r>
        <w:rPr>
          <w:rStyle w:val="Hyperlink"/>
          <w:rFonts w:eastAsia="Aptos" w:cstheme="minorHAnsi"/>
          <w:szCs w:val="22"/>
        </w:rPr>
        <w:t xml:space="preserve"> </w:t>
      </w:r>
    </w:p>
  </w:footnote>
  <w:footnote w:id="8">
    <w:p w14:paraId="79576C0D" w14:textId="77777777" w:rsidR="00A30635" w:rsidRPr="00341611" w:rsidRDefault="00A30635" w:rsidP="00A30635">
      <w:pPr>
        <w:pStyle w:val="FootnoteText"/>
      </w:pPr>
      <w:r w:rsidRPr="00132AAC">
        <w:rPr>
          <w:rStyle w:val="FootnoteReference"/>
          <w:rFonts w:ascii="Gill Sans MT" w:hAnsi="Gill Sans MT"/>
        </w:rPr>
        <w:footnoteRef/>
      </w:r>
      <w:r w:rsidRPr="00341611">
        <w:t xml:space="preserve"> </w:t>
      </w:r>
      <w:hyperlink r:id="rId5" w:history="1">
        <w:r w:rsidRPr="00341611">
          <w:rPr>
            <w:rStyle w:val="Hyperlink"/>
          </w:rPr>
          <w:t>Title 5 Section 53200 - 10+1</w:t>
        </w:r>
      </w:hyperlink>
      <w:r w:rsidRPr="00341611">
        <w:t xml:space="preserve"> </w:t>
      </w:r>
    </w:p>
  </w:footnote>
  <w:footnote w:id="9">
    <w:p w14:paraId="4E021667" w14:textId="77777777" w:rsidR="006D4F2C" w:rsidRDefault="006D4F2C" w:rsidP="006D4F2C">
      <w:pPr>
        <w:pStyle w:val="FootnoteText"/>
      </w:pPr>
      <w:r>
        <w:rPr>
          <w:rStyle w:val="FootnoteReference"/>
        </w:rPr>
        <w:footnoteRef/>
      </w:r>
      <w:r>
        <w:t xml:space="preserve"> </w:t>
      </w:r>
      <w:hyperlink r:id="rId6" w:history="1">
        <w:r>
          <w:rPr>
            <w:rStyle w:val="Hyperlink"/>
          </w:rPr>
          <w:t>Title 5, Section 55050</w:t>
        </w:r>
      </w:hyperlink>
      <w:r>
        <w:t xml:space="preserve"> </w:t>
      </w:r>
    </w:p>
  </w:footnote>
  <w:footnote w:id="10">
    <w:p w14:paraId="42987292" w14:textId="77777777" w:rsidR="006E1660" w:rsidRPr="00341611" w:rsidRDefault="006E1660" w:rsidP="006E1660">
      <w:pPr>
        <w:pStyle w:val="FootnoteText"/>
      </w:pPr>
      <w:r>
        <w:rPr>
          <w:rStyle w:val="FootnoteReference"/>
        </w:rPr>
        <w:footnoteRef/>
      </w:r>
      <w:r>
        <w:t xml:space="preserve"> </w:t>
      </w:r>
      <w:hyperlink r:id="rId7" w:history="1">
        <w:r w:rsidRPr="00341611">
          <w:rPr>
            <w:rStyle w:val="Hyperlink"/>
          </w:rPr>
          <w:t>https://asccc.org/resolutions/aligning-transfer-pathways-california-state-university-and-university-california-systems</w:t>
        </w:r>
      </w:hyperlink>
      <w:r w:rsidRPr="00341611">
        <w:t xml:space="preserve"> </w:t>
      </w:r>
    </w:p>
  </w:footnote>
  <w:footnote w:id="11">
    <w:p w14:paraId="752E50A5" w14:textId="77777777" w:rsidR="006E1660" w:rsidRDefault="006E1660" w:rsidP="006E1660">
      <w:pPr>
        <w:pStyle w:val="FootnoteText"/>
      </w:pPr>
      <w:r w:rsidRPr="00341611">
        <w:rPr>
          <w:rStyle w:val="FootnoteReference"/>
          <w:rFonts w:ascii="Gill Sans MT" w:hAnsi="Gill Sans MT"/>
        </w:rPr>
        <w:footnoteRef/>
      </w:r>
      <w:r w:rsidRPr="00341611">
        <w:t xml:space="preserve"> </w:t>
      </w:r>
      <w:hyperlink r:id="rId8" w:history="1">
        <w:r w:rsidRPr="00341611">
          <w:rPr>
            <w:rStyle w:val="Hyperlink"/>
          </w:rPr>
          <w:t>AB 2057 (Berman 2023)</w:t>
        </w:r>
      </w:hyperlink>
      <w:r>
        <w:t xml:space="preserve"> </w:t>
      </w:r>
    </w:p>
  </w:footnote>
  <w:footnote w:id="12">
    <w:p w14:paraId="0CBFCCEC" w14:textId="77777777" w:rsidR="00C81C15" w:rsidRDefault="00C81C15" w:rsidP="00C81C15">
      <w:pPr>
        <w:pStyle w:val="FootnoteText"/>
      </w:pPr>
      <w:r w:rsidRPr="00341611">
        <w:rPr>
          <w:rStyle w:val="FootnoteReference"/>
          <w:rFonts w:ascii="Gill Sans MT" w:hAnsi="Gill Sans MT"/>
        </w:rPr>
        <w:footnoteRef/>
      </w:r>
      <w:r w:rsidRPr="00341611">
        <w:t xml:space="preserve"> </w:t>
      </w:r>
      <w:hyperlink r:id="rId9" w:history="1">
        <w:r w:rsidRPr="00341611">
          <w:rPr>
            <w:rStyle w:val="Hyperlink"/>
          </w:rPr>
          <w:t>Title 5 §40401</w:t>
        </w:r>
      </w:hyperlink>
      <w:r>
        <w:t xml:space="preserve"> </w:t>
      </w:r>
    </w:p>
  </w:footnote>
  <w:footnote w:id="13">
    <w:p w14:paraId="352528F1" w14:textId="77777777" w:rsidR="00C81C15" w:rsidRDefault="00C81C15" w:rsidP="00C81C15">
      <w:pPr>
        <w:pStyle w:val="FootnoteText"/>
      </w:pPr>
      <w:r>
        <w:rPr>
          <w:rStyle w:val="FootnoteReference"/>
        </w:rPr>
        <w:footnoteRef/>
      </w:r>
      <w:r>
        <w:t xml:space="preserve"> </w:t>
      </w:r>
      <w:hyperlink r:id="rId10" w:history="1">
        <w:r>
          <w:rPr>
            <w:rStyle w:val="Hyperlink"/>
          </w:rPr>
          <w:t xml:space="preserve">CSU Transfer Programs Appendix A: Cal-GETC Catalog Rights Chart </w:t>
        </w:r>
      </w:hyperlink>
      <w:r>
        <w:t xml:space="preserve"> </w:t>
      </w:r>
    </w:p>
  </w:footnote>
  <w:footnote w:id="14">
    <w:p w14:paraId="478B2AE3" w14:textId="77777777" w:rsidR="00C66E52" w:rsidRDefault="00C66E52" w:rsidP="00C66E52">
      <w:pPr>
        <w:pStyle w:val="FootnoteText"/>
      </w:pPr>
      <w:r>
        <w:rPr>
          <w:rStyle w:val="FootnoteReference"/>
        </w:rPr>
        <w:footnoteRef/>
      </w:r>
      <w:r>
        <w:t xml:space="preserve"> </w:t>
      </w:r>
      <w:hyperlink r:id="rId11" w:history="1">
        <w:r>
          <w:rPr>
            <w:rStyle w:val="Hyperlink"/>
          </w:rPr>
          <w:t>CCCCO Vision 2030</w:t>
        </w:r>
      </w:hyperlink>
      <w:r>
        <w:t xml:space="preserve"> </w:t>
      </w:r>
    </w:p>
  </w:footnote>
  <w:footnote w:id="15">
    <w:p w14:paraId="1C6F7F6F" w14:textId="77777777" w:rsidR="00996FBB" w:rsidRDefault="00996FBB" w:rsidP="00996FBB">
      <w:pPr>
        <w:pStyle w:val="FootnoteText"/>
      </w:pPr>
      <w:r w:rsidRPr="007D0AAB">
        <w:rPr>
          <w:rStyle w:val="FootnoteReference"/>
          <w:rFonts w:ascii="Gill Sans MT" w:hAnsi="Gill Sans MT"/>
        </w:rPr>
        <w:footnoteRef/>
      </w:r>
      <w:r w:rsidRPr="007D0AAB">
        <w:t xml:space="preserve"> </w:t>
      </w:r>
      <w:hyperlink r:id="rId12" w:tgtFrame="_blank" w:tooltip="https://govt.westlaw.com/calregs/Document/I604B7E034C6911EC93A8000D3A7C4BC3?viewType=FullText&amp;originationContext=documenttoc&amp;transitionType=CategoryPageItem&amp;contextData=(sc.Default)&amp;bhcp=1" w:history="1">
        <w:r w:rsidRPr="007D0AAB">
          <w:rPr>
            <w:rStyle w:val="Hyperlink"/>
          </w:rPr>
          <w:t>Title 5 Section 53202 (d)</w:t>
        </w:r>
      </w:hyperlink>
    </w:p>
  </w:footnote>
  <w:footnote w:id="16">
    <w:p w14:paraId="3DC14E8A" w14:textId="77777777" w:rsidR="003B0730" w:rsidRPr="007D0AAB" w:rsidRDefault="003B0730" w:rsidP="003B0730">
      <w:pPr>
        <w:pStyle w:val="FootnoteText"/>
      </w:pPr>
      <w:r w:rsidRPr="007D0AAB">
        <w:rPr>
          <w:rStyle w:val="FootnoteReference"/>
          <w:rFonts w:ascii="Gill Sans MT" w:hAnsi="Gill Sans MT"/>
        </w:rPr>
        <w:footnoteRef/>
      </w:r>
      <w:r w:rsidRPr="007D0AAB">
        <w:t xml:space="preserve"> P.19 </w:t>
      </w:r>
      <w:hyperlink r:id="rId13" w:history="1">
        <w:r w:rsidRPr="007D0AAB">
          <w:rPr>
            <w:rStyle w:val="Hyperlink"/>
          </w:rPr>
          <w:t>Standards of Practice for California Community College Counseling Faculty and Programs</w:t>
        </w:r>
      </w:hyperlink>
      <w:r w:rsidRPr="007D0AAB">
        <w:t xml:space="preserve"> </w:t>
      </w:r>
    </w:p>
  </w:footnote>
  <w:footnote w:id="17">
    <w:p w14:paraId="25351F07" w14:textId="77777777" w:rsidR="0080234B" w:rsidRPr="00626707" w:rsidRDefault="0080234B" w:rsidP="0080234B">
      <w:pPr>
        <w:pStyle w:val="FootnoteText"/>
      </w:pPr>
      <w:r w:rsidRPr="00626707">
        <w:rPr>
          <w:rStyle w:val="FootnoteReference"/>
          <w:rFonts w:ascii="Gill Sans MT" w:hAnsi="Gill Sans MT"/>
        </w:rPr>
        <w:footnoteRef/>
      </w:r>
      <w:r w:rsidRPr="00626707">
        <w:t xml:space="preserve"> </w:t>
      </w:r>
      <w:hyperlink r:id="rId14" w:history="1">
        <w:r w:rsidRPr="00626707">
          <w:rPr>
            <w:rStyle w:val="Hyperlink"/>
          </w:rPr>
          <w:t xml:space="preserve">Legal Advisory 24-11-15:  California and its Community Colleges Remain Sanctuary Jurisdictions </w:t>
        </w:r>
      </w:hyperlink>
      <w:r w:rsidRPr="00626707">
        <w:t xml:space="preserve"> </w:t>
      </w:r>
    </w:p>
  </w:footnote>
  <w:footnote w:id="18">
    <w:p w14:paraId="797AEB7C" w14:textId="77777777" w:rsidR="001B1A1E" w:rsidRPr="00626707" w:rsidRDefault="001B1A1E" w:rsidP="001B1A1E">
      <w:pPr>
        <w:pStyle w:val="FootnoteText"/>
      </w:pPr>
      <w:r>
        <w:rPr>
          <w:rStyle w:val="FootnoteReference"/>
        </w:rPr>
        <w:footnoteRef/>
      </w:r>
      <w:r>
        <w:t xml:space="preserve"> </w:t>
      </w:r>
      <w:hyperlink r:id="rId15" w:history="1">
        <w:r w:rsidRPr="00626707">
          <w:rPr>
            <w:rStyle w:val="Hyperlink"/>
          </w:rPr>
          <w:t>California Education Code §70902</w:t>
        </w:r>
      </w:hyperlink>
      <w:r w:rsidRPr="00626707">
        <w:t xml:space="preserve"> </w:t>
      </w:r>
    </w:p>
  </w:footnote>
  <w:footnote w:id="19">
    <w:p w14:paraId="7BA8E70F" w14:textId="77777777" w:rsidR="001B1A1E" w:rsidRPr="00626707" w:rsidRDefault="001B1A1E" w:rsidP="001B1A1E">
      <w:pPr>
        <w:pStyle w:val="FootnoteText"/>
      </w:pPr>
      <w:r w:rsidRPr="00626707">
        <w:rPr>
          <w:rStyle w:val="FootnoteReference"/>
          <w:rFonts w:ascii="Gill Sans MT" w:hAnsi="Gill Sans MT"/>
        </w:rPr>
        <w:footnoteRef/>
      </w:r>
      <w:r w:rsidRPr="00626707">
        <w:t xml:space="preserve"> </w:t>
      </w:r>
      <w:hyperlink r:id="rId16" w:history="1">
        <w:r w:rsidRPr="00626707">
          <w:rPr>
            <w:rStyle w:val="Hyperlink"/>
          </w:rPr>
          <w:t>Title 5 Section 51023.5</w:t>
        </w:r>
      </w:hyperlink>
      <w:r w:rsidRPr="00626707">
        <w:t xml:space="preserve"> </w:t>
      </w:r>
    </w:p>
  </w:footnote>
  <w:footnote w:id="20">
    <w:p w14:paraId="19B523C3" w14:textId="77777777" w:rsidR="001B1A1E" w:rsidRPr="00626707" w:rsidRDefault="001B1A1E" w:rsidP="001B1A1E">
      <w:pPr>
        <w:pStyle w:val="FootnoteText"/>
      </w:pPr>
      <w:r w:rsidRPr="00626707">
        <w:rPr>
          <w:rStyle w:val="FootnoteReference"/>
          <w:rFonts w:ascii="Gill Sans MT" w:hAnsi="Gill Sans MT"/>
        </w:rPr>
        <w:footnoteRef/>
      </w:r>
      <w:r w:rsidRPr="00626707">
        <w:t xml:space="preserve"> </w:t>
      </w:r>
      <w:hyperlink r:id="rId17" w:history="1">
        <w:r w:rsidRPr="00626707">
          <w:rPr>
            <w:rStyle w:val="Hyperlink"/>
          </w:rPr>
          <w:t>Title 5 Section 53200</w:t>
        </w:r>
      </w:hyperlink>
    </w:p>
  </w:footnote>
  <w:footnote w:id="21">
    <w:p w14:paraId="5529A650" w14:textId="77777777" w:rsidR="001B1A1E" w:rsidRDefault="001B1A1E" w:rsidP="001B1A1E">
      <w:pPr>
        <w:pStyle w:val="FootnoteText"/>
      </w:pPr>
      <w:r w:rsidRPr="00626707">
        <w:rPr>
          <w:rStyle w:val="FootnoteReference"/>
          <w:rFonts w:ascii="Gill Sans MT" w:hAnsi="Gill Sans MT"/>
        </w:rPr>
        <w:footnoteRef/>
      </w:r>
      <w:r w:rsidRPr="00626707">
        <w:t xml:space="preserve"> </w:t>
      </w:r>
      <w:hyperlink r:id="rId18" w:history="1">
        <w:r w:rsidRPr="00626707">
          <w:rPr>
            <w:rStyle w:val="Hyperlink"/>
          </w:rPr>
          <w:t>Title 5 Section 51023.7</w:t>
        </w:r>
      </w:hyperlink>
      <w:r>
        <w:t xml:space="preserve"> </w:t>
      </w:r>
    </w:p>
  </w:footnote>
  <w:footnote w:id="22">
    <w:p w14:paraId="1FE81F18" w14:textId="4886BAF5" w:rsidR="002C720E" w:rsidRPr="00626707" w:rsidRDefault="002C720E" w:rsidP="002C720E">
      <w:pPr>
        <w:pStyle w:val="FootnoteText"/>
        <w:rPr>
          <w:sz w:val="16"/>
          <w:szCs w:val="16"/>
        </w:rPr>
      </w:pPr>
      <w:r w:rsidRPr="00132AAC">
        <w:rPr>
          <w:rStyle w:val="FootnoteReference"/>
          <w:rFonts w:ascii="Gill Sans MT" w:hAnsi="Gill Sans MT"/>
        </w:rPr>
        <w:footnoteRef/>
      </w:r>
      <w:r w:rsidRPr="00132AAC">
        <w:t xml:space="preserve"> American Association of University Professors. (n.d.). </w:t>
      </w:r>
      <w:hyperlink r:id="rId19" w:history="1">
        <w:r w:rsidRPr="00132AAC">
          <w:rPr>
            <w:rStyle w:val="Hyperlink"/>
          </w:rPr>
          <w:t>Endorsers of the 1940 Statement</w:t>
        </w:r>
      </w:hyperlink>
      <w:r w:rsidRPr="00132AAC">
        <w:t>.</w:t>
      </w:r>
    </w:p>
  </w:footnote>
  <w:footnote w:id="23">
    <w:p w14:paraId="47AD5C5D" w14:textId="77777777" w:rsidR="0071657A" w:rsidRPr="00626707" w:rsidRDefault="0071657A" w:rsidP="0071657A">
      <w:pPr>
        <w:pStyle w:val="FootnoteText"/>
      </w:pPr>
      <w:r w:rsidRPr="00626707">
        <w:rPr>
          <w:rStyle w:val="FootnoteReference"/>
          <w:rFonts w:ascii="Gill Sans MT" w:hAnsi="Gill Sans MT"/>
        </w:rPr>
        <w:footnoteRef/>
      </w:r>
      <w:r w:rsidRPr="00626707">
        <w:t xml:space="preserve"> </w:t>
      </w:r>
      <w:hyperlink r:id="rId20" w:history="1">
        <w:r w:rsidRPr="00626707">
          <w:rPr>
            <w:rStyle w:val="Hyperlink"/>
          </w:rPr>
          <w:t>Title 5 Section 55002.5</w:t>
        </w:r>
      </w:hyperlink>
      <w:r w:rsidRPr="00626707">
        <w:t xml:space="preserve"> </w:t>
      </w:r>
    </w:p>
  </w:footnote>
  <w:footnote w:id="24">
    <w:p w14:paraId="60BD461B" w14:textId="77777777" w:rsidR="0071657A" w:rsidRDefault="0071657A" w:rsidP="0071657A">
      <w:pPr>
        <w:pStyle w:val="FootnoteText"/>
      </w:pPr>
      <w:r w:rsidRPr="00626707">
        <w:rPr>
          <w:rStyle w:val="FootnoteReference"/>
          <w:rFonts w:ascii="Gill Sans MT" w:hAnsi="Gill Sans MT"/>
        </w:rPr>
        <w:footnoteRef/>
      </w:r>
      <w:r w:rsidRPr="00626707">
        <w:t xml:space="preserve"> </w:t>
      </w:r>
      <w:hyperlink r:id="rId21" w:history="1">
        <w:r w:rsidRPr="00626707">
          <w:rPr>
            <w:rStyle w:val="Hyperlink"/>
          </w:rPr>
          <w:t>Title 5 Section 55002</w:t>
        </w:r>
      </w:hyperlink>
      <w:r>
        <w:t xml:space="preserve"> </w:t>
      </w:r>
    </w:p>
  </w:footnote>
  <w:footnote w:id="25">
    <w:p w14:paraId="14393456" w14:textId="77777777" w:rsidR="0071657A" w:rsidRDefault="0071657A" w:rsidP="0071657A">
      <w:pPr>
        <w:pStyle w:val="FootnoteText"/>
      </w:pPr>
      <w:r>
        <w:rPr>
          <w:rStyle w:val="FootnoteReference"/>
        </w:rPr>
        <w:footnoteRef/>
      </w:r>
      <w:r>
        <w:t xml:space="preserve"> </w:t>
      </w:r>
      <w:hyperlink r:id="rId22" w:history="1">
        <w:r w:rsidRPr="00F41C38">
          <w:rPr>
            <w:rStyle w:val="Hyperlink"/>
            <w:rFonts w:cstheme="minorHAnsi"/>
          </w:rPr>
          <w:t>https://www.cupahr.org/surveys/research-briefs/representation-and-pay-equity-in-higher-ed-faculty-trends-april-2024/</w:t>
        </w:r>
      </w:hyperlink>
      <w:r>
        <w:rPr>
          <w:rStyle w:val="Hyperlink"/>
          <w:rFonts w:cstheme="minorHAnsi"/>
        </w:rPr>
        <w:t xml:space="preserve"> </w:t>
      </w:r>
    </w:p>
  </w:footnote>
  <w:footnote w:id="26">
    <w:p w14:paraId="5349CD37" w14:textId="77777777" w:rsidR="00F475E4" w:rsidRPr="00626707" w:rsidRDefault="00F475E4" w:rsidP="00F475E4">
      <w:pPr>
        <w:pStyle w:val="FootnoteText"/>
      </w:pPr>
      <w:r w:rsidRPr="00626707">
        <w:rPr>
          <w:rStyle w:val="FootnoteReference"/>
          <w:rFonts w:ascii="Gill Sans MT" w:hAnsi="Gill Sans MT"/>
        </w:rPr>
        <w:footnoteRef/>
      </w:r>
      <w:r w:rsidRPr="00626707">
        <w:t xml:space="preserve"> </w:t>
      </w:r>
      <w:hyperlink r:id="rId23">
        <w:r w:rsidRPr="00626707">
          <w:rPr>
            <w:color w:val="1155CC"/>
            <w:u w:val="single"/>
          </w:rPr>
          <w:t>Title 5 Section 53200(c)</w:t>
        </w:r>
      </w:hyperlink>
    </w:p>
  </w:footnote>
  <w:footnote w:id="27">
    <w:p w14:paraId="14597228" w14:textId="77777777" w:rsidR="00D74A5A" w:rsidRDefault="00D74A5A" w:rsidP="00D74A5A">
      <w:pPr>
        <w:pStyle w:val="FootnoteText"/>
      </w:pPr>
      <w:r w:rsidRPr="00DF230E">
        <w:footnoteRef/>
      </w:r>
      <w:r>
        <w:t xml:space="preserve"> </w:t>
      </w:r>
      <w:hyperlink r:id="rId24" w:history="1">
        <w:r>
          <w:rPr>
            <w:rStyle w:val="Hyperlink"/>
          </w:rPr>
          <w:t>The One-Tier Concept for  Advancing Student Success and Achieving Faculty Equality</w:t>
        </w:r>
      </w:hyperlink>
      <w:r>
        <w:t xml:space="preserve"> </w:t>
      </w:r>
    </w:p>
  </w:footnote>
  <w:footnote w:id="28">
    <w:p w14:paraId="0D5505B7" w14:textId="77777777" w:rsidR="00D74A5A" w:rsidRDefault="00D74A5A" w:rsidP="00D74A5A">
      <w:pPr>
        <w:pStyle w:val="FootnoteText"/>
      </w:pPr>
      <w:r>
        <w:rPr>
          <w:rStyle w:val="FootnoteReference"/>
        </w:rPr>
        <w:footnoteRef/>
      </w:r>
      <w:r>
        <w:t xml:space="preserve"> </w:t>
      </w:r>
      <w:hyperlink r:id="rId25">
        <w:r>
          <w:rPr>
            <w:color w:val="1155CC"/>
            <w:u w:val="single"/>
          </w:rPr>
          <w:t>CCCCO Faculty and Staff Demographics</w:t>
        </w:r>
      </w:hyperlink>
      <w:r>
        <w:rPr>
          <w:color w:val="1155CC"/>
          <w:u w:val="single"/>
        </w:rPr>
        <w:t xml:space="preserve"> </w:t>
      </w:r>
    </w:p>
  </w:footnote>
  <w:footnote w:id="29">
    <w:p w14:paraId="11C8F05C" w14:textId="77777777" w:rsidR="00D74A5A" w:rsidRDefault="00D74A5A" w:rsidP="00D74A5A">
      <w:pPr>
        <w:pStyle w:val="FootnoteText"/>
      </w:pPr>
      <w:r>
        <w:rPr>
          <w:rStyle w:val="FootnoteReference"/>
        </w:rPr>
        <w:footnoteRef/>
      </w:r>
      <w:r>
        <w:t xml:space="preserve"> </w:t>
      </w:r>
      <w:hyperlink r:id="rId26">
        <w:r>
          <w:rPr>
            <w:color w:val="1155CC"/>
            <w:u w:val="single"/>
          </w:rPr>
          <w:t>https://cpfa.org/tenurism/</w:t>
        </w:r>
      </w:hyperlink>
      <w:r>
        <w:rPr>
          <w:color w:val="1155CC"/>
          <w:u w:val="single"/>
        </w:rPr>
        <w:t xml:space="preserve"> </w:t>
      </w:r>
    </w:p>
  </w:footnote>
  <w:footnote w:id="30">
    <w:p w14:paraId="64B9B9B5" w14:textId="77777777" w:rsidR="00D74A5A" w:rsidRDefault="00D74A5A" w:rsidP="00D74A5A">
      <w:pPr>
        <w:pStyle w:val="FootnoteText"/>
      </w:pPr>
      <w:r>
        <w:rPr>
          <w:rStyle w:val="FootnoteReference"/>
        </w:rPr>
        <w:footnoteRef/>
      </w:r>
      <w:r>
        <w:t xml:space="preserve"> </w:t>
      </w:r>
      <w:hyperlink r:id="rId27">
        <w:r w:rsidRPr="00B73CCF">
          <w:rPr>
            <w:color w:val="1155CC"/>
            <w:u w:val="single"/>
          </w:rPr>
          <w:t>Article 23.1 of the Universal Declaration of Human Rights</w:t>
        </w:r>
      </w:hyperlink>
      <w:r>
        <w:rPr>
          <w:color w:val="1155CC"/>
          <w:u w:val="single"/>
        </w:rPr>
        <w:t xml:space="preserve"> </w:t>
      </w:r>
    </w:p>
  </w:footnote>
  <w:footnote w:id="31">
    <w:p w14:paraId="7E6DC5CE" w14:textId="77777777" w:rsidR="00F36108" w:rsidRPr="00132AAC" w:rsidRDefault="00F36108" w:rsidP="00F36108">
      <w:pPr>
        <w:spacing w:after="0" w:line="240" w:lineRule="auto"/>
        <w:rPr>
          <w:rFonts w:ascii="Gill Sans MT" w:hAnsi="Gill Sans MT"/>
          <w:sz w:val="20"/>
        </w:rPr>
      </w:pPr>
      <w:r w:rsidRPr="00132AAC">
        <w:rPr>
          <w:rFonts w:ascii="Gill Sans MT" w:hAnsi="Gill Sans MT"/>
          <w:sz w:val="20"/>
          <w:vertAlign w:val="superscript"/>
        </w:rPr>
        <w:footnoteRef/>
      </w:r>
      <w:r w:rsidRPr="00132AAC">
        <w:rPr>
          <w:rFonts w:ascii="Gill Sans MT" w:hAnsi="Gill Sans MT"/>
          <w:color w:val="0A0A0A"/>
          <w:sz w:val="20"/>
          <w:highlight w:val="white"/>
        </w:rPr>
        <w:t xml:space="preserve">https://www.asccc.org/papers/part-time_faculty-equity_rights_roles_in_governance </w:t>
      </w:r>
    </w:p>
  </w:footnote>
  <w:footnote w:id="32">
    <w:p w14:paraId="44C05D9B" w14:textId="77777777" w:rsidR="007E54EB" w:rsidRPr="000561B6" w:rsidRDefault="007E54EB" w:rsidP="007E54EB">
      <w:pPr>
        <w:pStyle w:val="FootnoteText"/>
      </w:pPr>
      <w:r w:rsidRPr="000561B6">
        <w:rPr>
          <w:rStyle w:val="FootnoteReference"/>
          <w:rFonts w:ascii="Gill Sans MT" w:hAnsi="Gill Sans MT"/>
        </w:rPr>
        <w:footnoteRef/>
      </w:r>
      <w:r w:rsidRPr="000561B6">
        <w:t xml:space="preserve">Chancellor’s Office Vision Resource Center </w:t>
      </w:r>
      <w:hyperlink r:id="rId28" w:history="1">
        <w:r w:rsidRPr="000561B6">
          <w:rPr>
            <w:rStyle w:val="Hyperlink"/>
          </w:rPr>
          <w:t>https://visionresourcecenter.azurewebsites.net/events/</w:t>
        </w:r>
      </w:hyperlink>
      <w:r w:rsidRPr="000561B6">
        <w:t xml:space="preserve"> </w:t>
      </w:r>
    </w:p>
  </w:footnote>
  <w:footnote w:id="33">
    <w:p w14:paraId="22D3E58B" w14:textId="77777777" w:rsidR="007E54EB" w:rsidRPr="000561B6" w:rsidRDefault="007E54EB" w:rsidP="007E54EB">
      <w:pPr>
        <w:pStyle w:val="FootnoteText"/>
        <w:rPr>
          <w:rFonts w:cs="Calibri"/>
        </w:rPr>
      </w:pPr>
      <w:r w:rsidRPr="00132AAC">
        <w:rPr>
          <w:rStyle w:val="FootnoteReference"/>
          <w:rFonts w:ascii="Gill Sans MT" w:hAnsi="Gill Sans MT"/>
        </w:rPr>
        <w:footnoteRef/>
      </w:r>
      <w:r w:rsidRPr="00132AAC">
        <w:t xml:space="preserve"> AB 259 (Rubio, 2025): Open meetings: local agencies: teleconferences </w:t>
      </w:r>
      <w:hyperlink r:id="rId29" w:history="1">
        <w:r w:rsidRPr="00132AAC">
          <w:rPr>
            <w:rStyle w:val="Hyperlink"/>
          </w:rPr>
          <w:t>Bill Text - AB-259 Open meetings: local agencies: teleconferences.</w:t>
        </w:r>
      </w:hyperlink>
    </w:p>
  </w:footnote>
  <w:footnote w:id="34">
    <w:p w14:paraId="7818CFD5" w14:textId="77777777" w:rsidR="005F6C8C" w:rsidRPr="00700AFE" w:rsidRDefault="005F6C8C" w:rsidP="005F6C8C">
      <w:pPr>
        <w:pStyle w:val="FootnoteText"/>
        <w:shd w:val="clear" w:color="auto" w:fill="FFFFFF" w:themeFill="background1"/>
      </w:pPr>
      <w:r w:rsidRPr="00132AAC">
        <w:rPr>
          <w:rStyle w:val="FootnoteReference"/>
          <w:rFonts w:ascii="Gill Sans MT" w:hAnsi="Gill Sans MT"/>
        </w:rPr>
        <w:footnoteRef/>
      </w:r>
      <w:r w:rsidRPr="00700AFE">
        <w:t xml:space="preserve"> See ASCCC legislative advocacy letter</w:t>
      </w:r>
      <w:r w:rsidRPr="00700AFE">
        <w:rPr>
          <w:rFonts w:eastAsiaTheme="minorEastAsia"/>
        </w:rPr>
        <w:t xml:space="preserve">, </w:t>
      </w:r>
      <w:r w:rsidRPr="00700AFE">
        <w:rPr>
          <w:rFonts w:eastAsiaTheme="minorEastAsia"/>
          <w:color w:val="333333"/>
        </w:rPr>
        <w:t>February 28, 2019, Revising the “Student Centered Funding Formula” to Incentivize Student-Focused Outcomes:</w:t>
      </w:r>
      <w:r w:rsidRPr="00132AAC">
        <w:rPr>
          <w:color w:val="333333"/>
        </w:rPr>
        <w:t xml:space="preserve"> </w:t>
      </w:r>
      <w:hyperlink r:id="rId30">
        <w:r w:rsidRPr="00132AAC">
          <w:rPr>
            <w:rStyle w:val="Hyperlink"/>
            <w:color w:val="0000EE"/>
          </w:rPr>
          <w:t>https://www.asccc.org/sites/default/files/Revising%20the%20Student%20Centered%20Funding%20Formula%202.28.19_1.pdf</w:t>
        </w:r>
      </w:hyperlink>
    </w:p>
    <w:p w14:paraId="6AEA0C39" w14:textId="77777777" w:rsidR="005F6C8C" w:rsidRDefault="00000000" w:rsidP="005F6C8C">
      <w:pPr>
        <w:shd w:val="clear" w:color="auto" w:fill="FFFFFF" w:themeFill="background1"/>
        <w:spacing w:after="0"/>
      </w:pPr>
      <w:hyperlink r:id="rId31">
        <w:r w:rsidR="005F6C8C" w:rsidRPr="00132AAC">
          <w:rPr>
            <w:rStyle w:val="Hyperlink"/>
            <w:rFonts w:ascii="Gill Sans MT" w:hAnsi="Gill Sans MT"/>
            <w:sz w:val="20"/>
          </w:rPr>
          <w:t>https://www.asccc.org/sites/default/files/Revising the Student Centered Funding Formula 2.28.19_1.pdf</w:t>
        </w:r>
      </w:hyperlink>
    </w:p>
  </w:footnote>
  <w:footnote w:id="35">
    <w:p w14:paraId="2AA45A04" w14:textId="77777777" w:rsidR="00D308C2" w:rsidRPr="009331D2" w:rsidRDefault="00D308C2" w:rsidP="00D308C2">
      <w:pPr>
        <w:pStyle w:val="FootnoteText"/>
      </w:pPr>
      <w:r>
        <w:rPr>
          <w:rStyle w:val="FootnoteReference"/>
        </w:rPr>
        <w:footnoteRef/>
      </w:r>
      <w:r>
        <w:t xml:space="preserve"> </w:t>
      </w:r>
      <w:hyperlink r:id="rId32" w:history="1">
        <w:r w:rsidRPr="00157EC1">
          <w:rPr>
            <w:rStyle w:val="Hyperlink"/>
          </w:rPr>
          <w:t>https://www.gov.ca.gov/wp-content/uploads/2024/12/CA-Master-Plan-Framework-Governors-Office.pdf</w:t>
        </w:r>
      </w:hyperlink>
      <w:r>
        <w:t xml:space="preserve"> </w:t>
      </w:r>
    </w:p>
  </w:footnote>
  <w:footnote w:id="36">
    <w:p w14:paraId="7E1E1A3D" w14:textId="77777777" w:rsidR="00D308C2" w:rsidRPr="00DA529C" w:rsidRDefault="00D308C2" w:rsidP="00D308C2">
      <w:pPr>
        <w:pStyle w:val="FootnoteText"/>
      </w:pPr>
      <w:r>
        <w:rPr>
          <w:rStyle w:val="FootnoteReference"/>
        </w:rPr>
        <w:footnoteRef/>
      </w:r>
      <w:r>
        <w:t xml:space="preserve"> See California Education Code Section 78213, particularly sub-sections (d) through (j) </w:t>
      </w:r>
      <w:hyperlink r:id="rId33" w:history="1">
        <w:r w:rsidRPr="00602575">
          <w:rPr>
            <w:rStyle w:val="Hyperlink"/>
          </w:rPr>
          <w:t>https://leginfo.legislature.ca.gov/faces/codes_displaySection.xhtml?lawCode=EDC&amp;sectionNum=78213</w:t>
        </w:r>
      </w:hyperlink>
      <w:r w:rsidRPr="00DA529C">
        <w:t>.</w:t>
      </w:r>
    </w:p>
  </w:footnote>
  <w:footnote w:id="37">
    <w:p w14:paraId="63E182FE" w14:textId="77777777" w:rsidR="00D308C2" w:rsidRPr="000561B6" w:rsidRDefault="00D308C2" w:rsidP="00D308C2">
      <w:pPr>
        <w:pStyle w:val="FootnoteText"/>
      </w:pPr>
      <w:r w:rsidRPr="000561B6">
        <w:rPr>
          <w:rStyle w:val="FootnoteReference"/>
          <w:rFonts w:ascii="Gill Sans MT" w:hAnsi="Gill Sans MT"/>
        </w:rPr>
        <w:footnoteRef/>
      </w:r>
      <w:r w:rsidRPr="000561B6">
        <w:t xml:space="preserve"> See California Education Code Section 66010.2 </w:t>
      </w:r>
      <w:hyperlink r:id="rId34" w:history="1">
        <w:r w:rsidRPr="000561B6">
          <w:rPr>
            <w:rStyle w:val="Hyperlink"/>
          </w:rPr>
          <w:t>https://leginfo.legislature.ca.gov/faces/codes_displaySection.xhtml?lawCode=EDC&amp;sectionNum=66010.2</w:t>
        </w:r>
      </w:hyperlink>
    </w:p>
  </w:footnote>
  <w:footnote w:id="38">
    <w:p w14:paraId="16462653" w14:textId="77777777" w:rsidR="0016288A" w:rsidRPr="00132AAC" w:rsidRDefault="0016288A" w:rsidP="0016288A">
      <w:pPr>
        <w:spacing w:after="0" w:line="240" w:lineRule="auto"/>
        <w:rPr>
          <w:rFonts w:ascii="Gill Sans MT" w:hAnsi="Gill Sans MT"/>
          <w:sz w:val="20"/>
        </w:rPr>
      </w:pPr>
      <w:r w:rsidRPr="00132AAC">
        <w:rPr>
          <w:rFonts w:ascii="Gill Sans MT" w:hAnsi="Gill Sans MT"/>
          <w:sz w:val="20"/>
          <w:vertAlign w:val="superscript"/>
        </w:rPr>
        <w:footnoteRef/>
      </w:r>
      <w:r w:rsidRPr="00132AAC">
        <w:rPr>
          <w:rFonts w:ascii="Gill Sans MT" w:hAnsi="Gill Sans MT"/>
          <w:sz w:val="20"/>
        </w:rPr>
        <w:t xml:space="preserve"> </w:t>
      </w:r>
      <w:hyperlink r:id="rId35">
        <w:r w:rsidRPr="00132AAC">
          <w:rPr>
            <w:rFonts w:ascii="Gill Sans MT" w:hAnsi="Gill Sans MT"/>
            <w:color w:val="1155CC"/>
            <w:sz w:val="20"/>
            <w:u w:val="single"/>
          </w:rPr>
          <w:t>https://legiscan.com/CA/bill/AB1433/2025</w:t>
        </w:r>
      </w:hyperlink>
    </w:p>
  </w:footnote>
  <w:footnote w:id="39">
    <w:p w14:paraId="5703AB03" w14:textId="77777777" w:rsidR="00A62774" w:rsidRPr="00D4688A" w:rsidRDefault="00A62774" w:rsidP="00A62774">
      <w:pPr>
        <w:pStyle w:val="FootnoteText"/>
      </w:pPr>
      <w:r w:rsidRPr="000561B6">
        <w:rPr>
          <w:rStyle w:val="FootnoteReference"/>
          <w:rFonts w:ascii="Gill Sans MT" w:hAnsi="Gill Sans MT"/>
        </w:rPr>
        <w:footnoteRef/>
      </w:r>
      <w:r w:rsidRPr="000561B6">
        <w:t xml:space="preserve"> </w:t>
      </w:r>
      <w:hyperlink r:id="rId36" w:history="1">
        <w:r w:rsidRPr="000561B6">
          <w:rPr>
            <w:rStyle w:val="Hyperlink"/>
          </w:rPr>
          <w:t>Title 5 Section 53200</w:t>
        </w:r>
      </w:hyperlink>
      <w:r w:rsidRPr="00D4688A">
        <w:t xml:space="preserve"> </w:t>
      </w:r>
    </w:p>
  </w:footnote>
  <w:footnote w:id="40">
    <w:p w14:paraId="7596FF66" w14:textId="77777777" w:rsidR="00565076" w:rsidRPr="000561B6" w:rsidRDefault="00565076" w:rsidP="00565076">
      <w:pPr>
        <w:pStyle w:val="FootnoteText"/>
      </w:pPr>
      <w:r w:rsidRPr="00132AAC">
        <w:rPr>
          <w:rStyle w:val="FootnoteReference"/>
          <w:rFonts w:ascii="Gill Sans MT" w:hAnsi="Gill Sans MT"/>
        </w:rPr>
        <w:footnoteRef/>
      </w:r>
      <w:r w:rsidRPr="000561B6">
        <w:t xml:space="preserve"> </w:t>
      </w:r>
      <w:hyperlink r:id="rId37" w:tgtFrame="_blank" w:history="1">
        <w:r w:rsidRPr="000561B6">
          <w:rPr>
            <w:rStyle w:val="Hyperlink"/>
            <w:lang w:val="en"/>
          </w:rPr>
          <w:t>Title 5 Section 58003.1(f)(2)</w:t>
        </w:r>
      </w:hyperlink>
      <w:r w:rsidRPr="000561B6">
        <w:rPr>
          <w:rStyle w:val="Hyperlink"/>
          <w:lang w:val="en"/>
        </w:rPr>
        <w:t xml:space="preserve"> </w:t>
      </w:r>
    </w:p>
  </w:footnote>
  <w:footnote w:id="41">
    <w:p w14:paraId="3CD0EAAF" w14:textId="77777777" w:rsidR="00565076" w:rsidRDefault="00565076" w:rsidP="00565076">
      <w:pPr>
        <w:pStyle w:val="FootnoteText"/>
      </w:pPr>
      <w:r w:rsidRPr="00132AAC">
        <w:rPr>
          <w:rStyle w:val="FootnoteReference"/>
          <w:rFonts w:ascii="Gill Sans MT" w:hAnsi="Gill Sans MT"/>
        </w:rPr>
        <w:footnoteRef/>
      </w:r>
      <w:r w:rsidRPr="000561B6">
        <w:t xml:space="preserve"> </w:t>
      </w:r>
      <w:hyperlink r:id="rId38" w:tgtFrame="_blank" w:history="1">
        <w:r w:rsidRPr="000561B6">
          <w:rPr>
            <w:rStyle w:val="Hyperlink"/>
            <w:lang w:val="en"/>
          </w:rPr>
          <w:t>2024 Attendance Accounting Manual</w:t>
        </w:r>
      </w:hyperlink>
      <w:r>
        <w:rPr>
          <w:rStyle w:val="Hyperlink"/>
          <w:lang w:val="en"/>
        </w:rPr>
        <w:t xml:space="preserve"> </w:t>
      </w:r>
    </w:p>
  </w:footnote>
  <w:footnote w:id="42">
    <w:p w14:paraId="40BAE7E8" w14:textId="77777777" w:rsidR="0004452A" w:rsidRPr="00132AAC" w:rsidRDefault="0004452A" w:rsidP="0004452A">
      <w:pPr>
        <w:spacing w:after="0" w:line="240" w:lineRule="auto"/>
        <w:rPr>
          <w:rFonts w:ascii="Gill Sans MT" w:hAnsi="Gill Sans MT"/>
          <w:sz w:val="20"/>
        </w:rPr>
      </w:pPr>
      <w:r>
        <w:rPr>
          <w:vertAlign w:val="superscript"/>
        </w:rPr>
        <w:footnoteRef/>
      </w:r>
      <w:r>
        <w:rPr>
          <w:sz w:val="20"/>
        </w:rPr>
        <w:t xml:space="preserve"> </w:t>
      </w:r>
      <w:hyperlink r:id="rId39" w:history="1">
        <w:r w:rsidRPr="00132AAC">
          <w:rPr>
            <w:rStyle w:val="Hyperlink"/>
            <w:rFonts w:ascii="Gill Sans MT" w:hAnsi="Gill Sans MT"/>
            <w:sz w:val="20"/>
          </w:rPr>
          <w:t>https://www.cccco.edu/About-Us/Chancellors-Office/Divisions/Digital-Innovation-and-Infrastructure/fraud-prevention</w:t>
        </w:r>
      </w:hyperlink>
      <w:r w:rsidRPr="00132AAC">
        <w:rPr>
          <w:rFonts w:ascii="Gill Sans MT" w:hAnsi="Gill Sans MT"/>
          <w:sz w:val="20"/>
        </w:rPr>
        <w:t xml:space="preserve"> </w:t>
      </w:r>
    </w:p>
  </w:footnote>
  <w:footnote w:id="43">
    <w:p w14:paraId="5D5F8B24" w14:textId="77777777" w:rsidR="0004452A" w:rsidRPr="00132AAC" w:rsidRDefault="0004452A" w:rsidP="0004452A">
      <w:pPr>
        <w:spacing w:after="0" w:line="240" w:lineRule="auto"/>
        <w:rPr>
          <w:rFonts w:ascii="Gill Sans MT" w:eastAsia="Times New Roman" w:hAnsi="Gill Sans MT"/>
          <w:color w:val="333333"/>
          <w:sz w:val="20"/>
          <w:highlight w:val="white"/>
        </w:rPr>
      </w:pPr>
      <w:r w:rsidRPr="00132AAC">
        <w:rPr>
          <w:rFonts w:ascii="Gill Sans MT" w:hAnsi="Gill Sans MT"/>
          <w:sz w:val="20"/>
          <w:vertAlign w:val="superscript"/>
        </w:rPr>
        <w:footnoteRef/>
      </w:r>
      <w:r w:rsidRPr="00132AAC">
        <w:rPr>
          <w:rFonts w:ascii="Gill Sans MT" w:hAnsi="Gill Sans MT"/>
          <w:sz w:val="20"/>
        </w:rPr>
        <w:t xml:space="preserve"> </w:t>
      </w:r>
      <w:hyperlink r:id="rId40" w:anchor=":~:text=In%202024%2C%20through%20September%2C%20community,later%20wrote%20off%20as%20fraud">
        <w:r w:rsidRPr="00132AAC">
          <w:rPr>
            <w:rFonts w:ascii="Gill Sans MT" w:eastAsia="Times New Roman" w:hAnsi="Gill Sans MT"/>
            <w:color w:val="1155CC"/>
            <w:sz w:val="20"/>
            <w:highlight w:val="white"/>
            <w:u w:val="single"/>
          </w:rPr>
          <w:t>Ed Source: Financial aid fraud is growing at California’s community colleges</w:t>
        </w:r>
      </w:hyperlink>
      <w:r w:rsidRPr="00132AAC">
        <w:rPr>
          <w:rFonts w:ascii="Gill Sans MT" w:eastAsia="Times New Roman" w:hAnsi="Gill Sans MT"/>
          <w:color w:val="333333"/>
          <w:sz w:val="20"/>
          <w:highlight w:val="white"/>
        </w:rPr>
        <w:t>.</w:t>
      </w:r>
    </w:p>
  </w:footnote>
  <w:footnote w:id="44">
    <w:p w14:paraId="3569D871" w14:textId="77777777" w:rsidR="0004452A" w:rsidRPr="00132AAC" w:rsidRDefault="0004452A" w:rsidP="0004452A">
      <w:pPr>
        <w:spacing w:after="0"/>
        <w:rPr>
          <w:rFonts w:ascii="Gill Sans MT" w:hAnsi="Gill Sans MT"/>
          <w:sz w:val="20"/>
        </w:rPr>
      </w:pPr>
      <w:r w:rsidRPr="00132AAC">
        <w:rPr>
          <w:rFonts w:ascii="Gill Sans MT" w:hAnsi="Gill Sans MT"/>
          <w:sz w:val="20"/>
          <w:vertAlign w:val="superscript"/>
        </w:rPr>
        <w:footnoteRef/>
      </w:r>
      <w:r w:rsidRPr="00132AAC">
        <w:rPr>
          <w:rFonts w:ascii="Gill Sans MT" w:hAnsi="Gill Sans MT"/>
          <w:sz w:val="20"/>
        </w:rPr>
        <w:t xml:space="preserve"> </w:t>
      </w:r>
      <w:hyperlink r:id="rId41" w:history="1">
        <w:r w:rsidRPr="00132AAC">
          <w:rPr>
            <w:rStyle w:val="Hyperlink"/>
            <w:rFonts w:ascii="Gill Sans MT" w:hAnsi="Gill Sans MT"/>
            <w:sz w:val="20"/>
          </w:rPr>
          <w:t>https://calmatters.org/education/higher-education/2024/04/financial-aid-fraud/</w:t>
        </w:r>
      </w:hyperlink>
      <w:r w:rsidRPr="00132AAC">
        <w:rPr>
          <w:rFonts w:ascii="Gill Sans MT" w:hAnsi="Gill Sans MT"/>
          <w:sz w:val="20"/>
        </w:rPr>
        <w:t xml:space="preserve"> </w:t>
      </w:r>
    </w:p>
  </w:footnote>
  <w:footnote w:id="45">
    <w:p w14:paraId="38A14443" w14:textId="77777777" w:rsidR="0004452A" w:rsidRPr="00132AAC" w:rsidRDefault="0004452A" w:rsidP="0004452A">
      <w:pPr>
        <w:spacing w:after="0" w:line="240" w:lineRule="auto"/>
        <w:rPr>
          <w:rFonts w:ascii="Gill Sans MT" w:hAnsi="Gill Sans MT"/>
          <w:sz w:val="20"/>
        </w:rPr>
      </w:pPr>
      <w:r w:rsidRPr="00132AAC">
        <w:rPr>
          <w:rFonts w:ascii="Gill Sans MT" w:hAnsi="Gill Sans MT"/>
          <w:sz w:val="20"/>
          <w:vertAlign w:val="superscript"/>
        </w:rPr>
        <w:footnoteRef/>
      </w:r>
      <w:r w:rsidRPr="00132AAC">
        <w:rPr>
          <w:rFonts w:ascii="Gill Sans MT" w:hAnsi="Gill Sans MT"/>
          <w:sz w:val="20"/>
        </w:rPr>
        <w:t xml:space="preserve"> </w:t>
      </w:r>
      <w:hyperlink r:id="rId42" w:history="1">
        <w:r w:rsidRPr="00132AAC">
          <w:rPr>
            <w:rStyle w:val="Hyperlink"/>
            <w:rFonts w:ascii="Gill Sans MT" w:hAnsi="Gill Sans MT"/>
            <w:sz w:val="20"/>
          </w:rPr>
          <w:t>https://asccc.org/content/how-student-engagement-can-mitigate-enrollment-fraud</w:t>
        </w:r>
      </w:hyperlink>
      <w:r w:rsidRPr="00132AAC">
        <w:rPr>
          <w:rFonts w:ascii="Gill Sans MT" w:hAnsi="Gill Sans MT"/>
          <w:sz w:val="20"/>
        </w:rPr>
        <w:t xml:space="preserve"> </w:t>
      </w:r>
    </w:p>
  </w:footnote>
  <w:footnote w:id="46">
    <w:p w14:paraId="4EB63C3B" w14:textId="77777777" w:rsidR="00F9691E" w:rsidRPr="00341611" w:rsidRDefault="00F9691E" w:rsidP="00F9691E">
      <w:pPr>
        <w:pStyle w:val="FootnoteText"/>
      </w:pPr>
      <w:r w:rsidRPr="00341611">
        <w:rPr>
          <w:rStyle w:val="FootnoteReference"/>
          <w:rFonts w:ascii="Gill Sans MT" w:hAnsi="Gill Sans MT"/>
        </w:rPr>
        <w:footnoteRef/>
      </w:r>
      <w:r w:rsidRPr="00341611">
        <w:t xml:space="preserve"> </w:t>
      </w:r>
      <w:hyperlink r:id="rId43" w:history="1">
        <w:r w:rsidRPr="00341611">
          <w:rPr>
            <w:rStyle w:val="Hyperlink"/>
          </w:rPr>
          <w:t>https://admission.universityofcalifornia.edu/admission-requirements/transfer-requirements/uc-transfer-programs/transfer-pathways/</w:t>
        </w:r>
      </w:hyperlink>
      <w:r w:rsidRPr="00341611">
        <w:t xml:space="preserve"> </w:t>
      </w:r>
    </w:p>
  </w:footnote>
  <w:footnote w:id="47">
    <w:p w14:paraId="40319267" w14:textId="77777777" w:rsidR="00F9691E" w:rsidRPr="00341611" w:rsidRDefault="00F9691E" w:rsidP="00F9691E">
      <w:pPr>
        <w:pStyle w:val="FootnoteText"/>
      </w:pPr>
      <w:r w:rsidRPr="00341611">
        <w:rPr>
          <w:rStyle w:val="FootnoteReference"/>
          <w:rFonts w:ascii="Gill Sans MT" w:hAnsi="Gill Sans MT"/>
        </w:rPr>
        <w:footnoteRef/>
      </w:r>
      <w:r w:rsidRPr="00341611">
        <w:t xml:space="preserve"> </w:t>
      </w:r>
      <w:hyperlink r:id="rId44" w:history="1">
        <w:r w:rsidRPr="00341611">
          <w:rPr>
            <w:rStyle w:val="Hyperlink"/>
          </w:rPr>
          <w:t>https://icas-ca.org/cal-getc/</w:t>
        </w:r>
      </w:hyperlink>
      <w:r w:rsidRPr="00341611">
        <w:t xml:space="preserve"> </w:t>
      </w:r>
    </w:p>
  </w:footnote>
  <w:footnote w:id="48">
    <w:p w14:paraId="48CA53A2" w14:textId="77777777" w:rsidR="00F9691E" w:rsidRPr="00341611" w:rsidRDefault="00F9691E" w:rsidP="00F9691E">
      <w:pPr>
        <w:pStyle w:val="FootnoteText"/>
      </w:pPr>
      <w:r w:rsidRPr="00341611">
        <w:rPr>
          <w:rStyle w:val="FootnoteReference"/>
          <w:rFonts w:ascii="Gill Sans MT" w:hAnsi="Gill Sans MT"/>
        </w:rPr>
        <w:footnoteRef/>
      </w:r>
      <w:r w:rsidRPr="00341611">
        <w:t xml:space="preserve"> </w:t>
      </w:r>
      <w:hyperlink r:id="rId45" w:history="1">
        <w:r w:rsidRPr="00341611">
          <w:rPr>
            <w:rStyle w:val="Hyperlink"/>
          </w:rPr>
          <w:t>AB 2057 (Berman 2023)</w:t>
        </w:r>
      </w:hyperlink>
      <w:r w:rsidRPr="00341611">
        <w:t xml:space="preserve"> </w:t>
      </w:r>
    </w:p>
  </w:footnote>
  <w:footnote w:id="49">
    <w:p w14:paraId="039AA22B" w14:textId="77777777" w:rsidR="001A674C" w:rsidRPr="000561B6" w:rsidRDefault="001A674C" w:rsidP="001A674C">
      <w:pPr>
        <w:spacing w:after="0" w:line="240" w:lineRule="auto"/>
        <w:rPr>
          <w:rFonts w:ascii="Gill Sans MT" w:hAnsi="Gill Sans MT"/>
          <w:sz w:val="20"/>
        </w:rPr>
      </w:pPr>
      <w:r w:rsidRPr="00132AAC">
        <w:rPr>
          <w:rStyle w:val="FootnoteReference"/>
          <w:rFonts w:ascii="Gill Sans MT" w:hAnsi="Gill Sans MT"/>
        </w:rPr>
        <w:footnoteRef/>
      </w:r>
      <w:r w:rsidRPr="00132AAC">
        <w:rPr>
          <w:rFonts w:ascii="Gill Sans MT" w:hAnsi="Gill Sans MT"/>
          <w:sz w:val="20"/>
        </w:rPr>
        <w:t xml:space="preserve"> CSU unveils massive AI venture (LA Times, Feb 2025)</w:t>
      </w:r>
      <w:r w:rsidRPr="00132AAC">
        <w:rPr>
          <w:rFonts w:ascii="Gill Sans MT" w:hAnsi="Gill Sans MT"/>
          <w:sz w:val="20"/>
        </w:rPr>
        <w:br/>
      </w:r>
      <w:hyperlink r:id="rId46" w:tgtFrame="_new" w:history="1">
        <w:r w:rsidRPr="00132AAC">
          <w:rPr>
            <w:rStyle w:val="Hyperlink"/>
            <w:rFonts w:ascii="Gill Sans MT" w:hAnsi="Gill Sans MT"/>
            <w:sz w:val="20"/>
          </w:rPr>
          <w:t>https://www.latimes.com/california/story/2025-02-04/california-state-university-unveils-massive-ai-venture</w:t>
        </w:r>
      </w:hyperlink>
      <w:r w:rsidRPr="00132AAC">
        <w:rPr>
          <w:rFonts w:ascii="Gill Sans MT" w:hAnsi="Gill Sans MT"/>
          <w:sz w:val="20"/>
        </w:rPr>
        <w:t xml:space="preserve"> </w:t>
      </w:r>
    </w:p>
    <w:p w14:paraId="5E4C0B62" w14:textId="77777777" w:rsidR="001A674C" w:rsidRPr="000561B6" w:rsidRDefault="001A674C" w:rsidP="001A674C">
      <w:pPr>
        <w:spacing w:after="0" w:line="240" w:lineRule="auto"/>
        <w:rPr>
          <w:rFonts w:ascii="Gill Sans MT" w:hAnsi="Gill Sans MT"/>
          <w:sz w:val="20"/>
        </w:rPr>
      </w:pPr>
      <w:r w:rsidRPr="00132AAC">
        <w:rPr>
          <w:rFonts w:ascii="Gill Sans MT" w:hAnsi="Gill Sans MT"/>
          <w:sz w:val="20"/>
        </w:rPr>
        <w:t xml:space="preserve">UC Artificial Intelligence Council </w:t>
      </w:r>
      <w:hyperlink r:id="rId47" w:history="1">
        <w:r w:rsidRPr="00132AAC">
          <w:rPr>
            <w:rStyle w:val="Hyperlink"/>
            <w:rFonts w:ascii="Gill Sans MT" w:hAnsi="Gill Sans MT"/>
            <w:sz w:val="20"/>
          </w:rPr>
          <w:t>https://ai.universityofcalifornia.edu/tools-and-resources.html</w:t>
        </w:r>
      </w:hyperlink>
      <w:r w:rsidRPr="000561B6">
        <w:rPr>
          <w:rFonts w:ascii="Gill Sans MT" w:hAnsi="Gill Sans MT"/>
          <w:sz w:val="20"/>
        </w:rPr>
        <w:t xml:space="preserve"> </w:t>
      </w:r>
    </w:p>
  </w:footnote>
  <w:footnote w:id="50">
    <w:p w14:paraId="265D9E8C" w14:textId="77777777" w:rsidR="001A674C" w:rsidRPr="000561B6" w:rsidRDefault="001A674C" w:rsidP="001A674C">
      <w:pPr>
        <w:spacing w:after="0" w:line="240" w:lineRule="auto"/>
      </w:pPr>
      <w:r w:rsidRPr="00132AAC">
        <w:rPr>
          <w:rStyle w:val="FootnoteReference"/>
          <w:rFonts w:ascii="Gill Sans MT" w:hAnsi="Gill Sans MT"/>
        </w:rPr>
        <w:footnoteRef/>
      </w:r>
      <w:r w:rsidRPr="00132AAC">
        <w:rPr>
          <w:rFonts w:ascii="Gill Sans MT" w:hAnsi="Gill Sans MT"/>
          <w:sz w:val="20"/>
        </w:rPr>
        <w:t xml:space="preserve"> Vision 2030, California Community Colleges Chancellor’s Office</w:t>
      </w:r>
      <w:r w:rsidRPr="00132AAC">
        <w:rPr>
          <w:rFonts w:ascii="Gill Sans MT" w:hAnsi="Gill Sans MT"/>
          <w:sz w:val="20"/>
        </w:rPr>
        <w:br/>
      </w:r>
      <w:hyperlink r:id="rId48" w:tgtFrame="_new" w:history="1">
        <w:r w:rsidRPr="00132AAC">
          <w:rPr>
            <w:rStyle w:val="Hyperlink"/>
            <w:rFonts w:ascii="Gill Sans MT" w:hAnsi="Gill Sans MT"/>
            <w:sz w:val="20"/>
          </w:rPr>
          <w:t>https://www.cccco.edu/About-Us/Vision-2030</w:t>
        </w:r>
      </w:hyperlink>
      <w:r w:rsidRPr="00132AAC">
        <w:rPr>
          <w:rFonts w:ascii="Gill Sans MT" w:hAnsi="Gill Sans MT"/>
          <w:sz w:val="20"/>
        </w:rPr>
        <w:t xml:space="preserve"> (Goal 4: Responsiveness to Community and Workforce Needs)</w:t>
      </w:r>
    </w:p>
  </w:footnote>
  <w:footnote w:id="51">
    <w:p w14:paraId="1F217306" w14:textId="77777777" w:rsidR="007473C3" w:rsidRDefault="007473C3" w:rsidP="007473C3">
      <w:pPr>
        <w:pStyle w:val="FootnoteText"/>
      </w:pPr>
      <w:r>
        <w:rPr>
          <w:rStyle w:val="FootnoteReference"/>
        </w:rPr>
        <w:footnoteRef/>
      </w:r>
      <w:r>
        <w:t xml:space="preserve"> </w:t>
      </w:r>
      <w:hyperlink r:id="rId49" w:history="1">
        <w:r w:rsidRPr="00740D8C">
          <w:rPr>
            <w:rStyle w:val="Hyperlink"/>
          </w:rPr>
          <w:t>https://www.cccco.edu/About-Us/Vision-2030</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402DA"/>
    <w:multiLevelType w:val="hybridMultilevel"/>
    <w:tmpl w:val="55FCFF8C"/>
    <w:lvl w:ilvl="0" w:tplc="BA0C07B0">
      <w:start w:val="10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F8651C"/>
    <w:multiLevelType w:val="hybridMultilevel"/>
    <w:tmpl w:val="51F21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5144FB"/>
    <w:multiLevelType w:val="multilevel"/>
    <w:tmpl w:val="07580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444186"/>
    <w:multiLevelType w:val="hybridMultilevel"/>
    <w:tmpl w:val="F3A47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A760CC"/>
    <w:multiLevelType w:val="hybridMultilevel"/>
    <w:tmpl w:val="652CBD4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15:restartNumberingAfterBreak="0">
    <w:nsid w:val="3EC602C8"/>
    <w:multiLevelType w:val="multilevel"/>
    <w:tmpl w:val="C2D84F3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6" w15:restartNumberingAfterBreak="0">
    <w:nsid w:val="4BB645E4"/>
    <w:multiLevelType w:val="hybridMultilevel"/>
    <w:tmpl w:val="F4028C5E"/>
    <w:lvl w:ilvl="0" w:tplc="5764FFC8">
      <w:start w:val="1"/>
      <w:numFmt w:val="bullet"/>
      <w:pStyle w:val="BulletedListwobullets"/>
      <w:lvlText w:val=" "/>
      <w:lvlJc w:val="left"/>
      <w:pPr>
        <w:ind w:left="72" w:firstLine="288"/>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C772F3B"/>
    <w:multiLevelType w:val="multilevel"/>
    <w:tmpl w:val="73FACBC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5A745924"/>
    <w:multiLevelType w:val="hybridMultilevel"/>
    <w:tmpl w:val="904AE89C"/>
    <w:lvl w:ilvl="0" w:tplc="0472F78E">
      <w:start w:val="10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8A68DE"/>
    <w:multiLevelType w:val="multilevel"/>
    <w:tmpl w:val="9A289C8C"/>
    <w:lvl w:ilvl="0">
      <w:start w:val="1"/>
      <w:numFmt w:val="decimal"/>
      <w:lvlText w:val="%1."/>
      <w:lvlJc w:val="left"/>
      <w:pPr>
        <w:ind w:left="720" w:hanging="360"/>
      </w:pPr>
      <w:rPr>
        <w:rFonts w:ascii="Arial" w:eastAsia="Arial" w:hAnsi="Arial" w:cs="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6C22183E"/>
    <w:multiLevelType w:val="hybridMultilevel"/>
    <w:tmpl w:val="63205C70"/>
    <w:lvl w:ilvl="0" w:tplc="0409000F">
      <w:start w:val="1"/>
      <w:numFmt w:val="decimal"/>
      <w:lvlText w:val="%1."/>
      <w:lvlJc w:val="left"/>
      <w:pPr>
        <w:ind w:left="720" w:hanging="360"/>
      </w:pPr>
      <w:rPr>
        <w:rFonts w:hint="default"/>
      </w:rPr>
    </w:lvl>
    <w:lvl w:ilvl="1" w:tplc="C1D6A06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F06FF5"/>
    <w:multiLevelType w:val="multilevel"/>
    <w:tmpl w:val="A7EA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9716079">
    <w:abstractNumId w:val="5"/>
  </w:num>
  <w:num w:numId="2" w16cid:durableId="1432508023">
    <w:abstractNumId w:val="7"/>
  </w:num>
  <w:num w:numId="3" w16cid:durableId="1783836646">
    <w:abstractNumId w:val="2"/>
  </w:num>
  <w:num w:numId="4" w16cid:durableId="988557922">
    <w:abstractNumId w:val="11"/>
  </w:num>
  <w:num w:numId="5" w16cid:durableId="548499457">
    <w:abstractNumId w:val="4"/>
  </w:num>
  <w:num w:numId="6" w16cid:durableId="312608437">
    <w:abstractNumId w:val="3"/>
  </w:num>
  <w:num w:numId="7" w16cid:durableId="1912154309">
    <w:abstractNumId w:val="8"/>
  </w:num>
  <w:num w:numId="8" w16cid:durableId="1907715450">
    <w:abstractNumId w:val="10"/>
  </w:num>
  <w:num w:numId="9" w16cid:durableId="315191235">
    <w:abstractNumId w:val="1"/>
  </w:num>
  <w:num w:numId="10" w16cid:durableId="1530678606">
    <w:abstractNumId w:val="9"/>
  </w:num>
  <w:num w:numId="11" w16cid:durableId="407311461">
    <w:abstractNumId w:val="6"/>
  </w:num>
  <w:num w:numId="12" w16cid:durableId="1495872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FFC"/>
    <w:rsid w:val="0000037A"/>
    <w:rsid w:val="00000C28"/>
    <w:rsid w:val="000011CB"/>
    <w:rsid w:val="0000507C"/>
    <w:rsid w:val="00007E3C"/>
    <w:rsid w:val="00010825"/>
    <w:rsid w:val="00013D96"/>
    <w:rsid w:val="00014A12"/>
    <w:rsid w:val="00014B8A"/>
    <w:rsid w:val="0001533B"/>
    <w:rsid w:val="000157B5"/>
    <w:rsid w:val="00015D61"/>
    <w:rsid w:val="0002174A"/>
    <w:rsid w:val="0002303C"/>
    <w:rsid w:val="00031DB3"/>
    <w:rsid w:val="000404C4"/>
    <w:rsid w:val="00040D72"/>
    <w:rsid w:val="000412C1"/>
    <w:rsid w:val="00041CDF"/>
    <w:rsid w:val="0004301E"/>
    <w:rsid w:val="0004452A"/>
    <w:rsid w:val="000454D5"/>
    <w:rsid w:val="000475D4"/>
    <w:rsid w:val="00047679"/>
    <w:rsid w:val="000534CE"/>
    <w:rsid w:val="00053842"/>
    <w:rsid w:val="00054154"/>
    <w:rsid w:val="00056C5C"/>
    <w:rsid w:val="00061F3F"/>
    <w:rsid w:val="000639C3"/>
    <w:rsid w:val="00066B8B"/>
    <w:rsid w:val="00067852"/>
    <w:rsid w:val="0007064E"/>
    <w:rsid w:val="00072E38"/>
    <w:rsid w:val="00073325"/>
    <w:rsid w:val="000760DF"/>
    <w:rsid w:val="00077ADD"/>
    <w:rsid w:val="00081EA5"/>
    <w:rsid w:val="00083726"/>
    <w:rsid w:val="0008435E"/>
    <w:rsid w:val="00086623"/>
    <w:rsid w:val="000876A9"/>
    <w:rsid w:val="00087C3B"/>
    <w:rsid w:val="00091509"/>
    <w:rsid w:val="00091D07"/>
    <w:rsid w:val="00094C32"/>
    <w:rsid w:val="00094E92"/>
    <w:rsid w:val="00096A62"/>
    <w:rsid w:val="00096ADA"/>
    <w:rsid w:val="000A070E"/>
    <w:rsid w:val="000A40F3"/>
    <w:rsid w:val="000A4EFD"/>
    <w:rsid w:val="000A65B8"/>
    <w:rsid w:val="000A750A"/>
    <w:rsid w:val="000B00CD"/>
    <w:rsid w:val="000B04FA"/>
    <w:rsid w:val="000B2DAC"/>
    <w:rsid w:val="000C1084"/>
    <w:rsid w:val="000C165B"/>
    <w:rsid w:val="000C2E61"/>
    <w:rsid w:val="000C3A14"/>
    <w:rsid w:val="000C3CFA"/>
    <w:rsid w:val="000C6BA1"/>
    <w:rsid w:val="000C7CE6"/>
    <w:rsid w:val="000D78AE"/>
    <w:rsid w:val="000E037B"/>
    <w:rsid w:val="000E3482"/>
    <w:rsid w:val="000E4622"/>
    <w:rsid w:val="000E4C09"/>
    <w:rsid w:val="000E589C"/>
    <w:rsid w:val="000E62F7"/>
    <w:rsid w:val="000E692C"/>
    <w:rsid w:val="000E6FE8"/>
    <w:rsid w:val="000F02EE"/>
    <w:rsid w:val="000F129A"/>
    <w:rsid w:val="000F13E8"/>
    <w:rsid w:val="000F54ED"/>
    <w:rsid w:val="000F787F"/>
    <w:rsid w:val="000F7BB8"/>
    <w:rsid w:val="001023B0"/>
    <w:rsid w:val="00102984"/>
    <w:rsid w:val="00102AEC"/>
    <w:rsid w:val="00103375"/>
    <w:rsid w:val="001042B5"/>
    <w:rsid w:val="00104702"/>
    <w:rsid w:val="00104EF3"/>
    <w:rsid w:val="00106AFD"/>
    <w:rsid w:val="0010783F"/>
    <w:rsid w:val="001110BF"/>
    <w:rsid w:val="001121AB"/>
    <w:rsid w:val="00112629"/>
    <w:rsid w:val="001132EC"/>
    <w:rsid w:val="00120256"/>
    <w:rsid w:val="001249EA"/>
    <w:rsid w:val="001320D6"/>
    <w:rsid w:val="001332CC"/>
    <w:rsid w:val="001344B1"/>
    <w:rsid w:val="00134CCE"/>
    <w:rsid w:val="00134F79"/>
    <w:rsid w:val="0013728B"/>
    <w:rsid w:val="001377D1"/>
    <w:rsid w:val="00137B6F"/>
    <w:rsid w:val="00137FD7"/>
    <w:rsid w:val="00140866"/>
    <w:rsid w:val="0014141D"/>
    <w:rsid w:val="0014270A"/>
    <w:rsid w:val="00145309"/>
    <w:rsid w:val="00145797"/>
    <w:rsid w:val="00147400"/>
    <w:rsid w:val="001476D9"/>
    <w:rsid w:val="001506ED"/>
    <w:rsid w:val="001509B5"/>
    <w:rsid w:val="00151A29"/>
    <w:rsid w:val="00151F50"/>
    <w:rsid w:val="00153BC1"/>
    <w:rsid w:val="00153C64"/>
    <w:rsid w:val="00154B46"/>
    <w:rsid w:val="00157D63"/>
    <w:rsid w:val="00161481"/>
    <w:rsid w:val="0016288A"/>
    <w:rsid w:val="001648C0"/>
    <w:rsid w:val="00171015"/>
    <w:rsid w:val="001739AD"/>
    <w:rsid w:val="00173A8C"/>
    <w:rsid w:val="001755D3"/>
    <w:rsid w:val="00175EFD"/>
    <w:rsid w:val="00175FCC"/>
    <w:rsid w:val="00176D01"/>
    <w:rsid w:val="00176E11"/>
    <w:rsid w:val="00180D26"/>
    <w:rsid w:val="00182DF3"/>
    <w:rsid w:val="00187AE6"/>
    <w:rsid w:val="001935BB"/>
    <w:rsid w:val="0019459C"/>
    <w:rsid w:val="0019586D"/>
    <w:rsid w:val="00195DC3"/>
    <w:rsid w:val="00196791"/>
    <w:rsid w:val="001A101E"/>
    <w:rsid w:val="001A2A1B"/>
    <w:rsid w:val="001A3BFD"/>
    <w:rsid w:val="001A4B68"/>
    <w:rsid w:val="001A5642"/>
    <w:rsid w:val="001A61A6"/>
    <w:rsid w:val="001A6335"/>
    <w:rsid w:val="001A674C"/>
    <w:rsid w:val="001A6DEA"/>
    <w:rsid w:val="001B1A1E"/>
    <w:rsid w:val="001B46EC"/>
    <w:rsid w:val="001B5180"/>
    <w:rsid w:val="001C3935"/>
    <w:rsid w:val="001C4074"/>
    <w:rsid w:val="001C5635"/>
    <w:rsid w:val="001D0649"/>
    <w:rsid w:val="001D0CD9"/>
    <w:rsid w:val="001D17F6"/>
    <w:rsid w:val="001D7103"/>
    <w:rsid w:val="001D7A89"/>
    <w:rsid w:val="001E2329"/>
    <w:rsid w:val="001E45FA"/>
    <w:rsid w:val="001E5169"/>
    <w:rsid w:val="001E660D"/>
    <w:rsid w:val="001E6EBC"/>
    <w:rsid w:val="001F0E22"/>
    <w:rsid w:val="001F39EE"/>
    <w:rsid w:val="001F43C7"/>
    <w:rsid w:val="001F5B91"/>
    <w:rsid w:val="001F6E14"/>
    <w:rsid w:val="001F726A"/>
    <w:rsid w:val="001F7A84"/>
    <w:rsid w:val="00203294"/>
    <w:rsid w:val="002035C4"/>
    <w:rsid w:val="00205FED"/>
    <w:rsid w:val="002064CE"/>
    <w:rsid w:val="0021043E"/>
    <w:rsid w:val="00213785"/>
    <w:rsid w:val="0021428D"/>
    <w:rsid w:val="00214661"/>
    <w:rsid w:val="00220318"/>
    <w:rsid w:val="002210CE"/>
    <w:rsid w:val="00224D26"/>
    <w:rsid w:val="002252E8"/>
    <w:rsid w:val="00226591"/>
    <w:rsid w:val="002266D3"/>
    <w:rsid w:val="00230A5C"/>
    <w:rsid w:val="00230B90"/>
    <w:rsid w:val="00232D58"/>
    <w:rsid w:val="00233F79"/>
    <w:rsid w:val="0023412A"/>
    <w:rsid w:val="00234987"/>
    <w:rsid w:val="00240D9B"/>
    <w:rsid w:val="00241214"/>
    <w:rsid w:val="00241D55"/>
    <w:rsid w:val="00242414"/>
    <w:rsid w:val="00242C05"/>
    <w:rsid w:val="00242DB4"/>
    <w:rsid w:val="00244292"/>
    <w:rsid w:val="002445BA"/>
    <w:rsid w:val="00245C2D"/>
    <w:rsid w:val="00250634"/>
    <w:rsid w:val="00250CCB"/>
    <w:rsid w:val="00252329"/>
    <w:rsid w:val="002531D9"/>
    <w:rsid w:val="0025493C"/>
    <w:rsid w:val="00261562"/>
    <w:rsid w:val="0026166D"/>
    <w:rsid w:val="00262159"/>
    <w:rsid w:val="0026337E"/>
    <w:rsid w:val="00264B66"/>
    <w:rsid w:val="00265232"/>
    <w:rsid w:val="002714E9"/>
    <w:rsid w:val="00271518"/>
    <w:rsid w:val="002728FE"/>
    <w:rsid w:val="00274BAB"/>
    <w:rsid w:val="002822B6"/>
    <w:rsid w:val="0028608C"/>
    <w:rsid w:val="00286AA0"/>
    <w:rsid w:val="00287FF1"/>
    <w:rsid w:val="0029173C"/>
    <w:rsid w:val="00292755"/>
    <w:rsid w:val="00294B9C"/>
    <w:rsid w:val="002950E6"/>
    <w:rsid w:val="00295A7E"/>
    <w:rsid w:val="00296554"/>
    <w:rsid w:val="0029760B"/>
    <w:rsid w:val="002A782C"/>
    <w:rsid w:val="002B269B"/>
    <w:rsid w:val="002B3A64"/>
    <w:rsid w:val="002B51A2"/>
    <w:rsid w:val="002B5306"/>
    <w:rsid w:val="002B55A2"/>
    <w:rsid w:val="002C0D34"/>
    <w:rsid w:val="002C2DD6"/>
    <w:rsid w:val="002C6BE0"/>
    <w:rsid w:val="002C720E"/>
    <w:rsid w:val="002D525C"/>
    <w:rsid w:val="002D6306"/>
    <w:rsid w:val="002D6445"/>
    <w:rsid w:val="002D7486"/>
    <w:rsid w:val="002E33E6"/>
    <w:rsid w:val="002E4291"/>
    <w:rsid w:val="002E6A29"/>
    <w:rsid w:val="002E78A5"/>
    <w:rsid w:val="002E7D7F"/>
    <w:rsid w:val="002F3C69"/>
    <w:rsid w:val="002F5C81"/>
    <w:rsid w:val="00302089"/>
    <w:rsid w:val="00302C08"/>
    <w:rsid w:val="0030343D"/>
    <w:rsid w:val="003061B9"/>
    <w:rsid w:val="00306589"/>
    <w:rsid w:val="003103A8"/>
    <w:rsid w:val="0031148E"/>
    <w:rsid w:val="00312558"/>
    <w:rsid w:val="00312E91"/>
    <w:rsid w:val="00312FB9"/>
    <w:rsid w:val="00314E0A"/>
    <w:rsid w:val="00315F5C"/>
    <w:rsid w:val="00316982"/>
    <w:rsid w:val="00316D59"/>
    <w:rsid w:val="003173A3"/>
    <w:rsid w:val="003202F9"/>
    <w:rsid w:val="00322C98"/>
    <w:rsid w:val="00323B12"/>
    <w:rsid w:val="00323B27"/>
    <w:rsid w:val="003242FA"/>
    <w:rsid w:val="0032718B"/>
    <w:rsid w:val="00327F7B"/>
    <w:rsid w:val="0033108E"/>
    <w:rsid w:val="00332F39"/>
    <w:rsid w:val="0033352B"/>
    <w:rsid w:val="00333FBD"/>
    <w:rsid w:val="00335308"/>
    <w:rsid w:val="00336C6D"/>
    <w:rsid w:val="00337596"/>
    <w:rsid w:val="00343BAD"/>
    <w:rsid w:val="003467F2"/>
    <w:rsid w:val="00346F28"/>
    <w:rsid w:val="0035041C"/>
    <w:rsid w:val="0035357E"/>
    <w:rsid w:val="00356E31"/>
    <w:rsid w:val="00360C4E"/>
    <w:rsid w:val="003620BA"/>
    <w:rsid w:val="00365945"/>
    <w:rsid w:val="003660F9"/>
    <w:rsid w:val="003663DB"/>
    <w:rsid w:val="00374C3D"/>
    <w:rsid w:val="00374DAF"/>
    <w:rsid w:val="00380C33"/>
    <w:rsid w:val="003815D7"/>
    <w:rsid w:val="0038338E"/>
    <w:rsid w:val="003838F6"/>
    <w:rsid w:val="00384FC5"/>
    <w:rsid w:val="00393678"/>
    <w:rsid w:val="00393F96"/>
    <w:rsid w:val="0039535B"/>
    <w:rsid w:val="003968CE"/>
    <w:rsid w:val="00397616"/>
    <w:rsid w:val="00397738"/>
    <w:rsid w:val="003A17C7"/>
    <w:rsid w:val="003A6315"/>
    <w:rsid w:val="003A72C4"/>
    <w:rsid w:val="003B0730"/>
    <w:rsid w:val="003B1BAA"/>
    <w:rsid w:val="003B4267"/>
    <w:rsid w:val="003B6667"/>
    <w:rsid w:val="003B678A"/>
    <w:rsid w:val="003B6AA7"/>
    <w:rsid w:val="003C15C2"/>
    <w:rsid w:val="003C18EA"/>
    <w:rsid w:val="003C2712"/>
    <w:rsid w:val="003C2D16"/>
    <w:rsid w:val="003C4D63"/>
    <w:rsid w:val="003C52C3"/>
    <w:rsid w:val="003C562B"/>
    <w:rsid w:val="003D1764"/>
    <w:rsid w:val="003D43ED"/>
    <w:rsid w:val="003D4EF6"/>
    <w:rsid w:val="003D5AFF"/>
    <w:rsid w:val="003E0A48"/>
    <w:rsid w:val="003E0C6E"/>
    <w:rsid w:val="003E2B55"/>
    <w:rsid w:val="003E2F92"/>
    <w:rsid w:val="003E3C23"/>
    <w:rsid w:val="003E7345"/>
    <w:rsid w:val="003F060D"/>
    <w:rsid w:val="003F187F"/>
    <w:rsid w:val="00401D19"/>
    <w:rsid w:val="00403AAF"/>
    <w:rsid w:val="00407C27"/>
    <w:rsid w:val="00410AF6"/>
    <w:rsid w:val="004111B4"/>
    <w:rsid w:val="004124F5"/>
    <w:rsid w:val="00413521"/>
    <w:rsid w:val="00414850"/>
    <w:rsid w:val="00414D18"/>
    <w:rsid w:val="00417B7C"/>
    <w:rsid w:val="0042054F"/>
    <w:rsid w:val="00420F82"/>
    <w:rsid w:val="004221A4"/>
    <w:rsid w:val="004255DB"/>
    <w:rsid w:val="0042771F"/>
    <w:rsid w:val="00432813"/>
    <w:rsid w:val="0043328A"/>
    <w:rsid w:val="00433C3A"/>
    <w:rsid w:val="004376B5"/>
    <w:rsid w:val="00437F1A"/>
    <w:rsid w:val="004408FB"/>
    <w:rsid w:val="0044209B"/>
    <w:rsid w:val="00445FC8"/>
    <w:rsid w:val="0044746A"/>
    <w:rsid w:val="00447B60"/>
    <w:rsid w:val="0045298C"/>
    <w:rsid w:val="00453C47"/>
    <w:rsid w:val="00457040"/>
    <w:rsid w:val="004606D9"/>
    <w:rsid w:val="0046286D"/>
    <w:rsid w:val="00464C9D"/>
    <w:rsid w:val="004661B0"/>
    <w:rsid w:val="00466CDB"/>
    <w:rsid w:val="004713A3"/>
    <w:rsid w:val="00474ACC"/>
    <w:rsid w:val="00475AFF"/>
    <w:rsid w:val="004761F2"/>
    <w:rsid w:val="004769D4"/>
    <w:rsid w:val="0048003E"/>
    <w:rsid w:val="004826C6"/>
    <w:rsid w:val="00484076"/>
    <w:rsid w:val="004846C7"/>
    <w:rsid w:val="00486BB7"/>
    <w:rsid w:val="00487024"/>
    <w:rsid w:val="004879B3"/>
    <w:rsid w:val="004927E7"/>
    <w:rsid w:val="00492E4D"/>
    <w:rsid w:val="00494F1B"/>
    <w:rsid w:val="004963DB"/>
    <w:rsid w:val="00496AED"/>
    <w:rsid w:val="00496C5C"/>
    <w:rsid w:val="00496D51"/>
    <w:rsid w:val="004972DE"/>
    <w:rsid w:val="00497999"/>
    <w:rsid w:val="004A3600"/>
    <w:rsid w:val="004A5788"/>
    <w:rsid w:val="004A7B3C"/>
    <w:rsid w:val="004B3B9B"/>
    <w:rsid w:val="004B4E08"/>
    <w:rsid w:val="004C11F7"/>
    <w:rsid w:val="004C291F"/>
    <w:rsid w:val="004C3E07"/>
    <w:rsid w:val="004C3EFC"/>
    <w:rsid w:val="004C59F5"/>
    <w:rsid w:val="004C6065"/>
    <w:rsid w:val="004C6E4A"/>
    <w:rsid w:val="004C7F5F"/>
    <w:rsid w:val="004D1540"/>
    <w:rsid w:val="004D42F6"/>
    <w:rsid w:val="004E04EF"/>
    <w:rsid w:val="004E3660"/>
    <w:rsid w:val="004E55BC"/>
    <w:rsid w:val="004E5AC5"/>
    <w:rsid w:val="004F1312"/>
    <w:rsid w:val="004F25D1"/>
    <w:rsid w:val="004F42DC"/>
    <w:rsid w:val="004F4B9D"/>
    <w:rsid w:val="004F4CD7"/>
    <w:rsid w:val="004F6AD2"/>
    <w:rsid w:val="00500FD6"/>
    <w:rsid w:val="00501B7F"/>
    <w:rsid w:val="00502495"/>
    <w:rsid w:val="00503FE4"/>
    <w:rsid w:val="005054CE"/>
    <w:rsid w:val="00506269"/>
    <w:rsid w:val="00507BD7"/>
    <w:rsid w:val="00511AF5"/>
    <w:rsid w:val="00512026"/>
    <w:rsid w:val="0051396F"/>
    <w:rsid w:val="005150FD"/>
    <w:rsid w:val="00516FEF"/>
    <w:rsid w:val="00520212"/>
    <w:rsid w:val="00520B27"/>
    <w:rsid w:val="005211A1"/>
    <w:rsid w:val="00521D86"/>
    <w:rsid w:val="00522BC0"/>
    <w:rsid w:val="00522EDE"/>
    <w:rsid w:val="0052317A"/>
    <w:rsid w:val="00524362"/>
    <w:rsid w:val="005244FB"/>
    <w:rsid w:val="005270A5"/>
    <w:rsid w:val="00527D29"/>
    <w:rsid w:val="00532F15"/>
    <w:rsid w:val="00533FAB"/>
    <w:rsid w:val="00534CFD"/>
    <w:rsid w:val="00537632"/>
    <w:rsid w:val="00541D2E"/>
    <w:rsid w:val="00542C9B"/>
    <w:rsid w:val="00544632"/>
    <w:rsid w:val="005458AF"/>
    <w:rsid w:val="0054680C"/>
    <w:rsid w:val="00547A29"/>
    <w:rsid w:val="0055037B"/>
    <w:rsid w:val="00550529"/>
    <w:rsid w:val="0055273A"/>
    <w:rsid w:val="005532F5"/>
    <w:rsid w:val="00554DA6"/>
    <w:rsid w:val="00560487"/>
    <w:rsid w:val="0056176B"/>
    <w:rsid w:val="005645F4"/>
    <w:rsid w:val="00565076"/>
    <w:rsid w:val="00565CF7"/>
    <w:rsid w:val="00567F92"/>
    <w:rsid w:val="00570654"/>
    <w:rsid w:val="0057433C"/>
    <w:rsid w:val="005750D7"/>
    <w:rsid w:val="005804B6"/>
    <w:rsid w:val="00581318"/>
    <w:rsid w:val="00582DC2"/>
    <w:rsid w:val="00582E92"/>
    <w:rsid w:val="005836EF"/>
    <w:rsid w:val="005865BC"/>
    <w:rsid w:val="0058724C"/>
    <w:rsid w:val="005911BF"/>
    <w:rsid w:val="0059152E"/>
    <w:rsid w:val="00596FF0"/>
    <w:rsid w:val="005A2864"/>
    <w:rsid w:val="005A5449"/>
    <w:rsid w:val="005A552A"/>
    <w:rsid w:val="005A7100"/>
    <w:rsid w:val="005A7611"/>
    <w:rsid w:val="005B0117"/>
    <w:rsid w:val="005B13F3"/>
    <w:rsid w:val="005B1958"/>
    <w:rsid w:val="005B1AEA"/>
    <w:rsid w:val="005B3FE6"/>
    <w:rsid w:val="005B4188"/>
    <w:rsid w:val="005B5038"/>
    <w:rsid w:val="005B68E5"/>
    <w:rsid w:val="005B71BC"/>
    <w:rsid w:val="005B781C"/>
    <w:rsid w:val="005C1892"/>
    <w:rsid w:val="005C42ED"/>
    <w:rsid w:val="005C444F"/>
    <w:rsid w:val="005C4A2B"/>
    <w:rsid w:val="005C589D"/>
    <w:rsid w:val="005C61AE"/>
    <w:rsid w:val="005C74F7"/>
    <w:rsid w:val="005D46B3"/>
    <w:rsid w:val="005D7597"/>
    <w:rsid w:val="005E039D"/>
    <w:rsid w:val="005E23F3"/>
    <w:rsid w:val="005E6474"/>
    <w:rsid w:val="005E6D4C"/>
    <w:rsid w:val="005F14ED"/>
    <w:rsid w:val="005F3EF1"/>
    <w:rsid w:val="005F533F"/>
    <w:rsid w:val="005F6C8C"/>
    <w:rsid w:val="005F79F1"/>
    <w:rsid w:val="0060184A"/>
    <w:rsid w:val="00601F0A"/>
    <w:rsid w:val="00604C38"/>
    <w:rsid w:val="00604E14"/>
    <w:rsid w:val="0060573A"/>
    <w:rsid w:val="0060588A"/>
    <w:rsid w:val="00606845"/>
    <w:rsid w:val="00610C14"/>
    <w:rsid w:val="00610EB1"/>
    <w:rsid w:val="006121C6"/>
    <w:rsid w:val="00612571"/>
    <w:rsid w:val="006137F9"/>
    <w:rsid w:val="00617583"/>
    <w:rsid w:val="006179ED"/>
    <w:rsid w:val="006210F9"/>
    <w:rsid w:val="006230A0"/>
    <w:rsid w:val="006234A7"/>
    <w:rsid w:val="00623DE7"/>
    <w:rsid w:val="0062435B"/>
    <w:rsid w:val="006259CF"/>
    <w:rsid w:val="0062622D"/>
    <w:rsid w:val="00630633"/>
    <w:rsid w:val="00631015"/>
    <w:rsid w:val="00631322"/>
    <w:rsid w:val="0063157F"/>
    <w:rsid w:val="00631902"/>
    <w:rsid w:val="00632E03"/>
    <w:rsid w:val="006344C0"/>
    <w:rsid w:val="0063570C"/>
    <w:rsid w:val="0063720F"/>
    <w:rsid w:val="00640F25"/>
    <w:rsid w:val="00641BA0"/>
    <w:rsid w:val="0064247C"/>
    <w:rsid w:val="006442E1"/>
    <w:rsid w:val="00644778"/>
    <w:rsid w:val="00644A29"/>
    <w:rsid w:val="0065028B"/>
    <w:rsid w:val="00650488"/>
    <w:rsid w:val="00652948"/>
    <w:rsid w:val="00655469"/>
    <w:rsid w:val="00656C6D"/>
    <w:rsid w:val="006578CC"/>
    <w:rsid w:val="00661487"/>
    <w:rsid w:val="00662571"/>
    <w:rsid w:val="00667DD6"/>
    <w:rsid w:val="00672016"/>
    <w:rsid w:val="0067205C"/>
    <w:rsid w:val="0067498E"/>
    <w:rsid w:val="006749FA"/>
    <w:rsid w:val="006751A8"/>
    <w:rsid w:val="00675E01"/>
    <w:rsid w:val="00676D8D"/>
    <w:rsid w:val="00677E2A"/>
    <w:rsid w:val="00682A22"/>
    <w:rsid w:val="00684945"/>
    <w:rsid w:val="00684B5C"/>
    <w:rsid w:val="00687441"/>
    <w:rsid w:val="00690BE3"/>
    <w:rsid w:val="00692459"/>
    <w:rsid w:val="006A0063"/>
    <w:rsid w:val="006A0611"/>
    <w:rsid w:val="006A537D"/>
    <w:rsid w:val="006A60B7"/>
    <w:rsid w:val="006A6686"/>
    <w:rsid w:val="006A67E1"/>
    <w:rsid w:val="006A79A4"/>
    <w:rsid w:val="006B043B"/>
    <w:rsid w:val="006B33CC"/>
    <w:rsid w:val="006B4A90"/>
    <w:rsid w:val="006B66B4"/>
    <w:rsid w:val="006C0D95"/>
    <w:rsid w:val="006C1E55"/>
    <w:rsid w:val="006C2F44"/>
    <w:rsid w:val="006C3AF8"/>
    <w:rsid w:val="006C3F3F"/>
    <w:rsid w:val="006C6AD3"/>
    <w:rsid w:val="006C76F6"/>
    <w:rsid w:val="006C7875"/>
    <w:rsid w:val="006C7B23"/>
    <w:rsid w:val="006D1A05"/>
    <w:rsid w:val="006D3D9C"/>
    <w:rsid w:val="006D3E06"/>
    <w:rsid w:val="006D4F2C"/>
    <w:rsid w:val="006E1660"/>
    <w:rsid w:val="006E373B"/>
    <w:rsid w:val="006E5566"/>
    <w:rsid w:val="006E5C9D"/>
    <w:rsid w:val="006F3DBF"/>
    <w:rsid w:val="006F77E1"/>
    <w:rsid w:val="00701397"/>
    <w:rsid w:val="0070532F"/>
    <w:rsid w:val="007054E2"/>
    <w:rsid w:val="007119FA"/>
    <w:rsid w:val="00712B5A"/>
    <w:rsid w:val="00713E19"/>
    <w:rsid w:val="00714369"/>
    <w:rsid w:val="0071657A"/>
    <w:rsid w:val="00720004"/>
    <w:rsid w:val="007212A4"/>
    <w:rsid w:val="00723744"/>
    <w:rsid w:val="007239D9"/>
    <w:rsid w:val="00726CC4"/>
    <w:rsid w:val="00731D12"/>
    <w:rsid w:val="00731FC2"/>
    <w:rsid w:val="00734D35"/>
    <w:rsid w:val="0073665C"/>
    <w:rsid w:val="007377EE"/>
    <w:rsid w:val="00737C1E"/>
    <w:rsid w:val="007421E4"/>
    <w:rsid w:val="00742421"/>
    <w:rsid w:val="007424E4"/>
    <w:rsid w:val="0074529B"/>
    <w:rsid w:val="007473C3"/>
    <w:rsid w:val="00752138"/>
    <w:rsid w:val="00752B9C"/>
    <w:rsid w:val="0075353E"/>
    <w:rsid w:val="007538E9"/>
    <w:rsid w:val="00760057"/>
    <w:rsid w:val="00760607"/>
    <w:rsid w:val="007611E0"/>
    <w:rsid w:val="00762724"/>
    <w:rsid w:val="007634F5"/>
    <w:rsid w:val="007654F9"/>
    <w:rsid w:val="0076586E"/>
    <w:rsid w:val="00767511"/>
    <w:rsid w:val="007728BE"/>
    <w:rsid w:val="00773FE1"/>
    <w:rsid w:val="007747F9"/>
    <w:rsid w:val="00774F8A"/>
    <w:rsid w:val="00775B6A"/>
    <w:rsid w:val="00775D26"/>
    <w:rsid w:val="00784B7A"/>
    <w:rsid w:val="00785FE7"/>
    <w:rsid w:val="00791455"/>
    <w:rsid w:val="00791636"/>
    <w:rsid w:val="00792C8E"/>
    <w:rsid w:val="00794149"/>
    <w:rsid w:val="00795E5E"/>
    <w:rsid w:val="007A11AA"/>
    <w:rsid w:val="007A16EA"/>
    <w:rsid w:val="007A1951"/>
    <w:rsid w:val="007A1FAD"/>
    <w:rsid w:val="007B0300"/>
    <w:rsid w:val="007B0D22"/>
    <w:rsid w:val="007B15FE"/>
    <w:rsid w:val="007B1AA0"/>
    <w:rsid w:val="007B1CB1"/>
    <w:rsid w:val="007B2420"/>
    <w:rsid w:val="007B3FEE"/>
    <w:rsid w:val="007B6B42"/>
    <w:rsid w:val="007C00EC"/>
    <w:rsid w:val="007C1DB7"/>
    <w:rsid w:val="007C2725"/>
    <w:rsid w:val="007C3692"/>
    <w:rsid w:val="007C50F9"/>
    <w:rsid w:val="007C5B18"/>
    <w:rsid w:val="007D1AFB"/>
    <w:rsid w:val="007D2364"/>
    <w:rsid w:val="007D2374"/>
    <w:rsid w:val="007D3124"/>
    <w:rsid w:val="007D4A04"/>
    <w:rsid w:val="007D4C37"/>
    <w:rsid w:val="007D5D60"/>
    <w:rsid w:val="007E0116"/>
    <w:rsid w:val="007E0237"/>
    <w:rsid w:val="007E06E4"/>
    <w:rsid w:val="007E0DEC"/>
    <w:rsid w:val="007E2030"/>
    <w:rsid w:val="007E54EB"/>
    <w:rsid w:val="007E5B87"/>
    <w:rsid w:val="007E67AC"/>
    <w:rsid w:val="007E6951"/>
    <w:rsid w:val="007F2B2B"/>
    <w:rsid w:val="007F31A2"/>
    <w:rsid w:val="007F55CA"/>
    <w:rsid w:val="007F5BE6"/>
    <w:rsid w:val="007F7859"/>
    <w:rsid w:val="007F7CD3"/>
    <w:rsid w:val="007F7F48"/>
    <w:rsid w:val="00800DB6"/>
    <w:rsid w:val="0080234B"/>
    <w:rsid w:val="008075AE"/>
    <w:rsid w:val="008102BC"/>
    <w:rsid w:val="00810666"/>
    <w:rsid w:val="00813CD3"/>
    <w:rsid w:val="008217A8"/>
    <w:rsid w:val="00822412"/>
    <w:rsid w:val="00826426"/>
    <w:rsid w:val="0083002E"/>
    <w:rsid w:val="008311DA"/>
    <w:rsid w:val="00831FF1"/>
    <w:rsid w:val="00834B9C"/>
    <w:rsid w:val="00834BF8"/>
    <w:rsid w:val="008350CB"/>
    <w:rsid w:val="00835A67"/>
    <w:rsid w:val="00837E6E"/>
    <w:rsid w:val="0084305E"/>
    <w:rsid w:val="008502EC"/>
    <w:rsid w:val="00850D18"/>
    <w:rsid w:val="00851EE6"/>
    <w:rsid w:val="008524E0"/>
    <w:rsid w:val="0085291A"/>
    <w:rsid w:val="00852CCB"/>
    <w:rsid w:val="00853898"/>
    <w:rsid w:val="00853C16"/>
    <w:rsid w:val="008547B1"/>
    <w:rsid w:val="00856AA9"/>
    <w:rsid w:val="0086097E"/>
    <w:rsid w:val="008661A4"/>
    <w:rsid w:val="00870B97"/>
    <w:rsid w:val="0087256C"/>
    <w:rsid w:val="00877D64"/>
    <w:rsid w:val="008812BC"/>
    <w:rsid w:val="008834BC"/>
    <w:rsid w:val="0088745E"/>
    <w:rsid w:val="00890308"/>
    <w:rsid w:val="00891CFE"/>
    <w:rsid w:val="00893BDA"/>
    <w:rsid w:val="0089609F"/>
    <w:rsid w:val="0089705C"/>
    <w:rsid w:val="008A09DD"/>
    <w:rsid w:val="008A0C3B"/>
    <w:rsid w:val="008A11C2"/>
    <w:rsid w:val="008A1296"/>
    <w:rsid w:val="008A1950"/>
    <w:rsid w:val="008A292A"/>
    <w:rsid w:val="008A2B3A"/>
    <w:rsid w:val="008A318D"/>
    <w:rsid w:val="008A3C7A"/>
    <w:rsid w:val="008A46ED"/>
    <w:rsid w:val="008A4993"/>
    <w:rsid w:val="008A4BEA"/>
    <w:rsid w:val="008A6B67"/>
    <w:rsid w:val="008A7EFF"/>
    <w:rsid w:val="008B0AE9"/>
    <w:rsid w:val="008B1AD9"/>
    <w:rsid w:val="008B250B"/>
    <w:rsid w:val="008B383F"/>
    <w:rsid w:val="008B57B9"/>
    <w:rsid w:val="008B5F9E"/>
    <w:rsid w:val="008B7E7E"/>
    <w:rsid w:val="008C0263"/>
    <w:rsid w:val="008C1C47"/>
    <w:rsid w:val="008C271D"/>
    <w:rsid w:val="008C4227"/>
    <w:rsid w:val="008C679D"/>
    <w:rsid w:val="008C7FB5"/>
    <w:rsid w:val="008D2C7F"/>
    <w:rsid w:val="008D6518"/>
    <w:rsid w:val="008E12EA"/>
    <w:rsid w:val="008E1C40"/>
    <w:rsid w:val="008E260D"/>
    <w:rsid w:val="008E3168"/>
    <w:rsid w:val="008E4255"/>
    <w:rsid w:val="008E6B8E"/>
    <w:rsid w:val="008E715A"/>
    <w:rsid w:val="008F0335"/>
    <w:rsid w:val="008F0B2C"/>
    <w:rsid w:val="008F19AE"/>
    <w:rsid w:val="009006B4"/>
    <w:rsid w:val="00903224"/>
    <w:rsid w:val="00904041"/>
    <w:rsid w:val="009064CE"/>
    <w:rsid w:val="00911C9D"/>
    <w:rsid w:val="009120DC"/>
    <w:rsid w:val="00912C10"/>
    <w:rsid w:val="00913AF1"/>
    <w:rsid w:val="00914CC4"/>
    <w:rsid w:val="0091680E"/>
    <w:rsid w:val="00920140"/>
    <w:rsid w:val="00923E31"/>
    <w:rsid w:val="0092583B"/>
    <w:rsid w:val="00926075"/>
    <w:rsid w:val="00926971"/>
    <w:rsid w:val="00932ADB"/>
    <w:rsid w:val="00933989"/>
    <w:rsid w:val="009345F2"/>
    <w:rsid w:val="009369FA"/>
    <w:rsid w:val="009414CB"/>
    <w:rsid w:val="00943A75"/>
    <w:rsid w:val="009455AF"/>
    <w:rsid w:val="0094712D"/>
    <w:rsid w:val="009474B4"/>
    <w:rsid w:val="0095044D"/>
    <w:rsid w:val="009508C3"/>
    <w:rsid w:val="00950CCD"/>
    <w:rsid w:val="00951BFA"/>
    <w:rsid w:val="009522BB"/>
    <w:rsid w:val="00956F07"/>
    <w:rsid w:val="00957267"/>
    <w:rsid w:val="00961B1A"/>
    <w:rsid w:val="00963E1C"/>
    <w:rsid w:val="00966625"/>
    <w:rsid w:val="009708F2"/>
    <w:rsid w:val="009709A6"/>
    <w:rsid w:val="0097364A"/>
    <w:rsid w:val="00976107"/>
    <w:rsid w:val="00976E78"/>
    <w:rsid w:val="0097730A"/>
    <w:rsid w:val="00977ED8"/>
    <w:rsid w:val="00982168"/>
    <w:rsid w:val="00982176"/>
    <w:rsid w:val="009827F9"/>
    <w:rsid w:val="00983049"/>
    <w:rsid w:val="009830AB"/>
    <w:rsid w:val="00986280"/>
    <w:rsid w:val="00986D63"/>
    <w:rsid w:val="00990687"/>
    <w:rsid w:val="00990BE6"/>
    <w:rsid w:val="0099225E"/>
    <w:rsid w:val="0099636C"/>
    <w:rsid w:val="00996FBB"/>
    <w:rsid w:val="009A0745"/>
    <w:rsid w:val="009A1B05"/>
    <w:rsid w:val="009A4C1F"/>
    <w:rsid w:val="009A50B4"/>
    <w:rsid w:val="009A51D6"/>
    <w:rsid w:val="009A73DF"/>
    <w:rsid w:val="009A79CA"/>
    <w:rsid w:val="009B1B3C"/>
    <w:rsid w:val="009B4329"/>
    <w:rsid w:val="009B44C9"/>
    <w:rsid w:val="009B6868"/>
    <w:rsid w:val="009C1636"/>
    <w:rsid w:val="009C1E70"/>
    <w:rsid w:val="009C447A"/>
    <w:rsid w:val="009C4790"/>
    <w:rsid w:val="009C5524"/>
    <w:rsid w:val="009C558D"/>
    <w:rsid w:val="009C6CD7"/>
    <w:rsid w:val="009D0CF4"/>
    <w:rsid w:val="009D1322"/>
    <w:rsid w:val="009D1B88"/>
    <w:rsid w:val="009D1EA6"/>
    <w:rsid w:val="009D2BC9"/>
    <w:rsid w:val="009D3A20"/>
    <w:rsid w:val="009D3B05"/>
    <w:rsid w:val="009D5293"/>
    <w:rsid w:val="009E61A7"/>
    <w:rsid w:val="009F0B3F"/>
    <w:rsid w:val="009F0FFC"/>
    <w:rsid w:val="009F1EE3"/>
    <w:rsid w:val="009F270A"/>
    <w:rsid w:val="009F2799"/>
    <w:rsid w:val="009F2FE2"/>
    <w:rsid w:val="009F3902"/>
    <w:rsid w:val="009F475F"/>
    <w:rsid w:val="009F7F67"/>
    <w:rsid w:val="00A00513"/>
    <w:rsid w:val="00A02E49"/>
    <w:rsid w:val="00A10615"/>
    <w:rsid w:val="00A11252"/>
    <w:rsid w:val="00A119A4"/>
    <w:rsid w:val="00A13E08"/>
    <w:rsid w:val="00A14817"/>
    <w:rsid w:val="00A1532F"/>
    <w:rsid w:val="00A16421"/>
    <w:rsid w:val="00A165C9"/>
    <w:rsid w:val="00A205CF"/>
    <w:rsid w:val="00A2156E"/>
    <w:rsid w:val="00A22926"/>
    <w:rsid w:val="00A23D52"/>
    <w:rsid w:val="00A2760D"/>
    <w:rsid w:val="00A30635"/>
    <w:rsid w:val="00A3180F"/>
    <w:rsid w:val="00A31CAE"/>
    <w:rsid w:val="00A329CD"/>
    <w:rsid w:val="00A354F1"/>
    <w:rsid w:val="00A410F3"/>
    <w:rsid w:val="00A41E50"/>
    <w:rsid w:val="00A438F6"/>
    <w:rsid w:val="00A45AA8"/>
    <w:rsid w:val="00A46773"/>
    <w:rsid w:val="00A479A7"/>
    <w:rsid w:val="00A515BD"/>
    <w:rsid w:val="00A51996"/>
    <w:rsid w:val="00A53924"/>
    <w:rsid w:val="00A55AB9"/>
    <w:rsid w:val="00A55C45"/>
    <w:rsid w:val="00A560A2"/>
    <w:rsid w:val="00A564AB"/>
    <w:rsid w:val="00A56E8A"/>
    <w:rsid w:val="00A57E3C"/>
    <w:rsid w:val="00A62774"/>
    <w:rsid w:val="00A639CD"/>
    <w:rsid w:val="00A659E5"/>
    <w:rsid w:val="00A6629D"/>
    <w:rsid w:val="00A6652E"/>
    <w:rsid w:val="00A70CD9"/>
    <w:rsid w:val="00A71020"/>
    <w:rsid w:val="00A741C4"/>
    <w:rsid w:val="00A75A3E"/>
    <w:rsid w:val="00A77E5B"/>
    <w:rsid w:val="00A80C4F"/>
    <w:rsid w:val="00A81A1F"/>
    <w:rsid w:val="00A8249B"/>
    <w:rsid w:val="00A82FB0"/>
    <w:rsid w:val="00A831CD"/>
    <w:rsid w:val="00A86AC8"/>
    <w:rsid w:val="00A87B81"/>
    <w:rsid w:val="00A90C2B"/>
    <w:rsid w:val="00A91785"/>
    <w:rsid w:val="00A91A27"/>
    <w:rsid w:val="00A94333"/>
    <w:rsid w:val="00A950BF"/>
    <w:rsid w:val="00A96685"/>
    <w:rsid w:val="00AA0FF1"/>
    <w:rsid w:val="00AA16F2"/>
    <w:rsid w:val="00AA2826"/>
    <w:rsid w:val="00AA35E7"/>
    <w:rsid w:val="00AA3AA6"/>
    <w:rsid w:val="00AA500B"/>
    <w:rsid w:val="00AA5018"/>
    <w:rsid w:val="00AA511F"/>
    <w:rsid w:val="00AA6A69"/>
    <w:rsid w:val="00AA7DD3"/>
    <w:rsid w:val="00AB197A"/>
    <w:rsid w:val="00AB37BB"/>
    <w:rsid w:val="00AB39E0"/>
    <w:rsid w:val="00AB4508"/>
    <w:rsid w:val="00AB491C"/>
    <w:rsid w:val="00AB57B2"/>
    <w:rsid w:val="00AB5804"/>
    <w:rsid w:val="00AB6BD6"/>
    <w:rsid w:val="00AB6CBA"/>
    <w:rsid w:val="00AC01E6"/>
    <w:rsid w:val="00AC1829"/>
    <w:rsid w:val="00AC377D"/>
    <w:rsid w:val="00AC570A"/>
    <w:rsid w:val="00AC65B7"/>
    <w:rsid w:val="00AD0EAB"/>
    <w:rsid w:val="00AD1670"/>
    <w:rsid w:val="00AD232C"/>
    <w:rsid w:val="00AD340A"/>
    <w:rsid w:val="00AD3BCD"/>
    <w:rsid w:val="00AD3FC9"/>
    <w:rsid w:val="00AD410E"/>
    <w:rsid w:val="00AD5385"/>
    <w:rsid w:val="00AD599F"/>
    <w:rsid w:val="00AD6351"/>
    <w:rsid w:val="00AD6F40"/>
    <w:rsid w:val="00AE1412"/>
    <w:rsid w:val="00AE1508"/>
    <w:rsid w:val="00AE27ED"/>
    <w:rsid w:val="00AE46C9"/>
    <w:rsid w:val="00AE6537"/>
    <w:rsid w:val="00AE6589"/>
    <w:rsid w:val="00AE6D16"/>
    <w:rsid w:val="00AE707C"/>
    <w:rsid w:val="00AF1AEC"/>
    <w:rsid w:val="00AF2C65"/>
    <w:rsid w:val="00AF40E4"/>
    <w:rsid w:val="00AF58A2"/>
    <w:rsid w:val="00AF7826"/>
    <w:rsid w:val="00AF7FB6"/>
    <w:rsid w:val="00B030DA"/>
    <w:rsid w:val="00B03956"/>
    <w:rsid w:val="00B065E2"/>
    <w:rsid w:val="00B0784A"/>
    <w:rsid w:val="00B11A1F"/>
    <w:rsid w:val="00B1305C"/>
    <w:rsid w:val="00B13ED7"/>
    <w:rsid w:val="00B14AD7"/>
    <w:rsid w:val="00B14B99"/>
    <w:rsid w:val="00B14C3C"/>
    <w:rsid w:val="00B15205"/>
    <w:rsid w:val="00B15274"/>
    <w:rsid w:val="00B21739"/>
    <w:rsid w:val="00B23790"/>
    <w:rsid w:val="00B24584"/>
    <w:rsid w:val="00B249AE"/>
    <w:rsid w:val="00B25613"/>
    <w:rsid w:val="00B25D1F"/>
    <w:rsid w:val="00B27857"/>
    <w:rsid w:val="00B27950"/>
    <w:rsid w:val="00B302E3"/>
    <w:rsid w:val="00B32F2A"/>
    <w:rsid w:val="00B33642"/>
    <w:rsid w:val="00B36494"/>
    <w:rsid w:val="00B364A9"/>
    <w:rsid w:val="00B4356F"/>
    <w:rsid w:val="00B50049"/>
    <w:rsid w:val="00B505D6"/>
    <w:rsid w:val="00B50E14"/>
    <w:rsid w:val="00B52DEC"/>
    <w:rsid w:val="00B5552A"/>
    <w:rsid w:val="00B56CD3"/>
    <w:rsid w:val="00B611A7"/>
    <w:rsid w:val="00B6177C"/>
    <w:rsid w:val="00B61E15"/>
    <w:rsid w:val="00B61E39"/>
    <w:rsid w:val="00B62A3E"/>
    <w:rsid w:val="00B657EA"/>
    <w:rsid w:val="00B6679A"/>
    <w:rsid w:val="00B678D6"/>
    <w:rsid w:val="00B70818"/>
    <w:rsid w:val="00B710E8"/>
    <w:rsid w:val="00B75CAF"/>
    <w:rsid w:val="00B765DA"/>
    <w:rsid w:val="00B7679D"/>
    <w:rsid w:val="00B814EF"/>
    <w:rsid w:val="00B835A0"/>
    <w:rsid w:val="00B861BF"/>
    <w:rsid w:val="00B86482"/>
    <w:rsid w:val="00B87BF3"/>
    <w:rsid w:val="00B915A8"/>
    <w:rsid w:val="00B916AB"/>
    <w:rsid w:val="00B9577E"/>
    <w:rsid w:val="00B96191"/>
    <w:rsid w:val="00BA35DD"/>
    <w:rsid w:val="00BA37B5"/>
    <w:rsid w:val="00BA3EDD"/>
    <w:rsid w:val="00BA6BC9"/>
    <w:rsid w:val="00BA6CDD"/>
    <w:rsid w:val="00BB1D19"/>
    <w:rsid w:val="00BB4371"/>
    <w:rsid w:val="00BB526F"/>
    <w:rsid w:val="00BB6364"/>
    <w:rsid w:val="00BB64A1"/>
    <w:rsid w:val="00BC015D"/>
    <w:rsid w:val="00BC01F6"/>
    <w:rsid w:val="00BC0D5C"/>
    <w:rsid w:val="00BC0EBA"/>
    <w:rsid w:val="00BC16BC"/>
    <w:rsid w:val="00BC23B7"/>
    <w:rsid w:val="00BC2422"/>
    <w:rsid w:val="00BC5C3A"/>
    <w:rsid w:val="00BD2557"/>
    <w:rsid w:val="00BD32DA"/>
    <w:rsid w:val="00BD37E6"/>
    <w:rsid w:val="00BD424E"/>
    <w:rsid w:val="00BD68B3"/>
    <w:rsid w:val="00BE2BCE"/>
    <w:rsid w:val="00BE2EFB"/>
    <w:rsid w:val="00BE3D9F"/>
    <w:rsid w:val="00BE57F8"/>
    <w:rsid w:val="00BF1BF5"/>
    <w:rsid w:val="00BF25D9"/>
    <w:rsid w:val="00BF5BBB"/>
    <w:rsid w:val="00BF6427"/>
    <w:rsid w:val="00C004BA"/>
    <w:rsid w:val="00C03229"/>
    <w:rsid w:val="00C0595B"/>
    <w:rsid w:val="00C06D7C"/>
    <w:rsid w:val="00C129C7"/>
    <w:rsid w:val="00C12FC5"/>
    <w:rsid w:val="00C22316"/>
    <w:rsid w:val="00C233C4"/>
    <w:rsid w:val="00C23699"/>
    <w:rsid w:val="00C250FA"/>
    <w:rsid w:val="00C25418"/>
    <w:rsid w:val="00C26079"/>
    <w:rsid w:val="00C26D14"/>
    <w:rsid w:val="00C31FAA"/>
    <w:rsid w:val="00C32A29"/>
    <w:rsid w:val="00C352DA"/>
    <w:rsid w:val="00C36267"/>
    <w:rsid w:val="00C36FF9"/>
    <w:rsid w:val="00C373DD"/>
    <w:rsid w:val="00C40EAB"/>
    <w:rsid w:val="00C41679"/>
    <w:rsid w:val="00C41A08"/>
    <w:rsid w:val="00C41D19"/>
    <w:rsid w:val="00C4417D"/>
    <w:rsid w:val="00C44834"/>
    <w:rsid w:val="00C44BC8"/>
    <w:rsid w:val="00C4543E"/>
    <w:rsid w:val="00C545AF"/>
    <w:rsid w:val="00C54CC0"/>
    <w:rsid w:val="00C57E38"/>
    <w:rsid w:val="00C606AA"/>
    <w:rsid w:val="00C61BCE"/>
    <w:rsid w:val="00C624BA"/>
    <w:rsid w:val="00C628BC"/>
    <w:rsid w:val="00C643D1"/>
    <w:rsid w:val="00C66E52"/>
    <w:rsid w:val="00C724F2"/>
    <w:rsid w:val="00C7283E"/>
    <w:rsid w:val="00C72C11"/>
    <w:rsid w:val="00C73D06"/>
    <w:rsid w:val="00C764B0"/>
    <w:rsid w:val="00C76AB0"/>
    <w:rsid w:val="00C76EED"/>
    <w:rsid w:val="00C77D93"/>
    <w:rsid w:val="00C80FFE"/>
    <w:rsid w:val="00C810B4"/>
    <w:rsid w:val="00C813CE"/>
    <w:rsid w:val="00C81C15"/>
    <w:rsid w:val="00C8226B"/>
    <w:rsid w:val="00C82350"/>
    <w:rsid w:val="00C82EC3"/>
    <w:rsid w:val="00C84172"/>
    <w:rsid w:val="00C852F1"/>
    <w:rsid w:val="00C86818"/>
    <w:rsid w:val="00C9136D"/>
    <w:rsid w:val="00C92D6B"/>
    <w:rsid w:val="00C943C4"/>
    <w:rsid w:val="00C946AE"/>
    <w:rsid w:val="00CA3C3C"/>
    <w:rsid w:val="00CA4958"/>
    <w:rsid w:val="00CB3DBB"/>
    <w:rsid w:val="00CB5184"/>
    <w:rsid w:val="00CB5D9E"/>
    <w:rsid w:val="00CB6697"/>
    <w:rsid w:val="00CC0B65"/>
    <w:rsid w:val="00CC1249"/>
    <w:rsid w:val="00CD0406"/>
    <w:rsid w:val="00CD3B05"/>
    <w:rsid w:val="00CD5C45"/>
    <w:rsid w:val="00CD6F4D"/>
    <w:rsid w:val="00CD7225"/>
    <w:rsid w:val="00CE0EF3"/>
    <w:rsid w:val="00CE3D77"/>
    <w:rsid w:val="00CE41DD"/>
    <w:rsid w:val="00CE4B7F"/>
    <w:rsid w:val="00CE50E8"/>
    <w:rsid w:val="00CF1D0C"/>
    <w:rsid w:val="00CF2481"/>
    <w:rsid w:val="00CF5737"/>
    <w:rsid w:val="00CF6491"/>
    <w:rsid w:val="00CF766D"/>
    <w:rsid w:val="00D01886"/>
    <w:rsid w:val="00D01997"/>
    <w:rsid w:val="00D02D1C"/>
    <w:rsid w:val="00D03667"/>
    <w:rsid w:val="00D05553"/>
    <w:rsid w:val="00D075E4"/>
    <w:rsid w:val="00D118B0"/>
    <w:rsid w:val="00D14381"/>
    <w:rsid w:val="00D15058"/>
    <w:rsid w:val="00D20667"/>
    <w:rsid w:val="00D213CD"/>
    <w:rsid w:val="00D260F8"/>
    <w:rsid w:val="00D26578"/>
    <w:rsid w:val="00D27A34"/>
    <w:rsid w:val="00D308C2"/>
    <w:rsid w:val="00D309F0"/>
    <w:rsid w:val="00D379F5"/>
    <w:rsid w:val="00D414D8"/>
    <w:rsid w:val="00D44F1A"/>
    <w:rsid w:val="00D45E02"/>
    <w:rsid w:val="00D45E28"/>
    <w:rsid w:val="00D46259"/>
    <w:rsid w:val="00D4776B"/>
    <w:rsid w:val="00D510B8"/>
    <w:rsid w:val="00D51A3B"/>
    <w:rsid w:val="00D53C09"/>
    <w:rsid w:val="00D5439C"/>
    <w:rsid w:val="00D57123"/>
    <w:rsid w:val="00D57BED"/>
    <w:rsid w:val="00D6066E"/>
    <w:rsid w:val="00D6249F"/>
    <w:rsid w:val="00D62EB2"/>
    <w:rsid w:val="00D642DD"/>
    <w:rsid w:val="00D65652"/>
    <w:rsid w:val="00D67878"/>
    <w:rsid w:val="00D73156"/>
    <w:rsid w:val="00D73FD4"/>
    <w:rsid w:val="00D74A5A"/>
    <w:rsid w:val="00D7535D"/>
    <w:rsid w:val="00D764FB"/>
    <w:rsid w:val="00D84126"/>
    <w:rsid w:val="00D86AD8"/>
    <w:rsid w:val="00D933A9"/>
    <w:rsid w:val="00D96112"/>
    <w:rsid w:val="00D963D2"/>
    <w:rsid w:val="00D96A98"/>
    <w:rsid w:val="00D97DE2"/>
    <w:rsid w:val="00DB0A8F"/>
    <w:rsid w:val="00DB108C"/>
    <w:rsid w:val="00DB16E2"/>
    <w:rsid w:val="00DB2623"/>
    <w:rsid w:val="00DB3084"/>
    <w:rsid w:val="00DB4277"/>
    <w:rsid w:val="00DB4A7D"/>
    <w:rsid w:val="00DB50AA"/>
    <w:rsid w:val="00DB5163"/>
    <w:rsid w:val="00DC1973"/>
    <w:rsid w:val="00DC2CB7"/>
    <w:rsid w:val="00DC39C1"/>
    <w:rsid w:val="00DC3E70"/>
    <w:rsid w:val="00DC4731"/>
    <w:rsid w:val="00DC5340"/>
    <w:rsid w:val="00DC6803"/>
    <w:rsid w:val="00DC6825"/>
    <w:rsid w:val="00DC68D9"/>
    <w:rsid w:val="00DC7281"/>
    <w:rsid w:val="00DD044D"/>
    <w:rsid w:val="00DD4BB6"/>
    <w:rsid w:val="00DE23E4"/>
    <w:rsid w:val="00DE4108"/>
    <w:rsid w:val="00DE43C5"/>
    <w:rsid w:val="00DE4E76"/>
    <w:rsid w:val="00DE577F"/>
    <w:rsid w:val="00DE59BE"/>
    <w:rsid w:val="00DE6558"/>
    <w:rsid w:val="00DF1E43"/>
    <w:rsid w:val="00DF378D"/>
    <w:rsid w:val="00DF3E64"/>
    <w:rsid w:val="00DF5557"/>
    <w:rsid w:val="00DF5AE0"/>
    <w:rsid w:val="00DF60B5"/>
    <w:rsid w:val="00DF69D4"/>
    <w:rsid w:val="00DF7E2C"/>
    <w:rsid w:val="00E01AB3"/>
    <w:rsid w:val="00E027DC"/>
    <w:rsid w:val="00E050E7"/>
    <w:rsid w:val="00E0760D"/>
    <w:rsid w:val="00E11589"/>
    <w:rsid w:val="00E132E9"/>
    <w:rsid w:val="00E1393C"/>
    <w:rsid w:val="00E13FE1"/>
    <w:rsid w:val="00E14FF5"/>
    <w:rsid w:val="00E158C8"/>
    <w:rsid w:val="00E20161"/>
    <w:rsid w:val="00E236C2"/>
    <w:rsid w:val="00E253F9"/>
    <w:rsid w:val="00E25CDE"/>
    <w:rsid w:val="00E26A50"/>
    <w:rsid w:val="00E27787"/>
    <w:rsid w:val="00E277A6"/>
    <w:rsid w:val="00E306D6"/>
    <w:rsid w:val="00E30D4D"/>
    <w:rsid w:val="00E310DA"/>
    <w:rsid w:val="00E31EA6"/>
    <w:rsid w:val="00E327ED"/>
    <w:rsid w:val="00E3544C"/>
    <w:rsid w:val="00E36460"/>
    <w:rsid w:val="00E41B9C"/>
    <w:rsid w:val="00E43F36"/>
    <w:rsid w:val="00E442D7"/>
    <w:rsid w:val="00E453B7"/>
    <w:rsid w:val="00E47382"/>
    <w:rsid w:val="00E47A4C"/>
    <w:rsid w:val="00E531CF"/>
    <w:rsid w:val="00E55540"/>
    <w:rsid w:val="00E556DC"/>
    <w:rsid w:val="00E60B40"/>
    <w:rsid w:val="00E66294"/>
    <w:rsid w:val="00E67002"/>
    <w:rsid w:val="00E675F5"/>
    <w:rsid w:val="00E708F8"/>
    <w:rsid w:val="00E715D4"/>
    <w:rsid w:val="00E74184"/>
    <w:rsid w:val="00E7532F"/>
    <w:rsid w:val="00E75C27"/>
    <w:rsid w:val="00E77ADD"/>
    <w:rsid w:val="00E83977"/>
    <w:rsid w:val="00E8446D"/>
    <w:rsid w:val="00E84BBA"/>
    <w:rsid w:val="00E85EE6"/>
    <w:rsid w:val="00E86374"/>
    <w:rsid w:val="00E907BF"/>
    <w:rsid w:val="00E919DF"/>
    <w:rsid w:val="00E92680"/>
    <w:rsid w:val="00E92AEF"/>
    <w:rsid w:val="00E960E4"/>
    <w:rsid w:val="00E96A41"/>
    <w:rsid w:val="00E973AB"/>
    <w:rsid w:val="00E97CF1"/>
    <w:rsid w:val="00EA0251"/>
    <w:rsid w:val="00EA0DB9"/>
    <w:rsid w:val="00EA1FA6"/>
    <w:rsid w:val="00EA2546"/>
    <w:rsid w:val="00EA43F6"/>
    <w:rsid w:val="00EA4C56"/>
    <w:rsid w:val="00EA4D2C"/>
    <w:rsid w:val="00EB105C"/>
    <w:rsid w:val="00EB18C1"/>
    <w:rsid w:val="00EB2858"/>
    <w:rsid w:val="00EC2E69"/>
    <w:rsid w:val="00EC4B84"/>
    <w:rsid w:val="00EC5713"/>
    <w:rsid w:val="00ED1E4D"/>
    <w:rsid w:val="00ED283F"/>
    <w:rsid w:val="00ED455F"/>
    <w:rsid w:val="00ED46B2"/>
    <w:rsid w:val="00EE0186"/>
    <w:rsid w:val="00EE1D03"/>
    <w:rsid w:val="00EE1D5B"/>
    <w:rsid w:val="00EE248A"/>
    <w:rsid w:val="00EE273E"/>
    <w:rsid w:val="00EE335A"/>
    <w:rsid w:val="00EE41B2"/>
    <w:rsid w:val="00EE59C8"/>
    <w:rsid w:val="00EE6264"/>
    <w:rsid w:val="00EE6D18"/>
    <w:rsid w:val="00EE7B18"/>
    <w:rsid w:val="00EF0766"/>
    <w:rsid w:val="00EF0CEB"/>
    <w:rsid w:val="00EF572C"/>
    <w:rsid w:val="00EF5C91"/>
    <w:rsid w:val="00EF66A4"/>
    <w:rsid w:val="00F01257"/>
    <w:rsid w:val="00F017AB"/>
    <w:rsid w:val="00F022E3"/>
    <w:rsid w:val="00F044C6"/>
    <w:rsid w:val="00F05C3F"/>
    <w:rsid w:val="00F068F8"/>
    <w:rsid w:val="00F06F3A"/>
    <w:rsid w:val="00F11975"/>
    <w:rsid w:val="00F11D64"/>
    <w:rsid w:val="00F1381F"/>
    <w:rsid w:val="00F14CBE"/>
    <w:rsid w:val="00F14FD0"/>
    <w:rsid w:val="00F157E3"/>
    <w:rsid w:val="00F25DCC"/>
    <w:rsid w:val="00F26BCA"/>
    <w:rsid w:val="00F277F4"/>
    <w:rsid w:val="00F30CD6"/>
    <w:rsid w:val="00F31F9A"/>
    <w:rsid w:val="00F33BB3"/>
    <w:rsid w:val="00F36108"/>
    <w:rsid w:val="00F36CB8"/>
    <w:rsid w:val="00F376F2"/>
    <w:rsid w:val="00F37722"/>
    <w:rsid w:val="00F41C5D"/>
    <w:rsid w:val="00F4210B"/>
    <w:rsid w:val="00F455BA"/>
    <w:rsid w:val="00F46FD9"/>
    <w:rsid w:val="00F475E4"/>
    <w:rsid w:val="00F5133F"/>
    <w:rsid w:val="00F51EEA"/>
    <w:rsid w:val="00F5410C"/>
    <w:rsid w:val="00F56DFF"/>
    <w:rsid w:val="00F61AFC"/>
    <w:rsid w:val="00F62388"/>
    <w:rsid w:val="00F63BC3"/>
    <w:rsid w:val="00F644E0"/>
    <w:rsid w:val="00F65756"/>
    <w:rsid w:val="00F6632F"/>
    <w:rsid w:val="00F678D3"/>
    <w:rsid w:val="00F74A49"/>
    <w:rsid w:val="00F74D0D"/>
    <w:rsid w:val="00F75226"/>
    <w:rsid w:val="00F80666"/>
    <w:rsid w:val="00F8229C"/>
    <w:rsid w:val="00F82F4E"/>
    <w:rsid w:val="00F85FB4"/>
    <w:rsid w:val="00F87D1A"/>
    <w:rsid w:val="00F90DDA"/>
    <w:rsid w:val="00F93EC6"/>
    <w:rsid w:val="00F95EFC"/>
    <w:rsid w:val="00F9691E"/>
    <w:rsid w:val="00FA00F4"/>
    <w:rsid w:val="00FA1376"/>
    <w:rsid w:val="00FA18B4"/>
    <w:rsid w:val="00FA1CE5"/>
    <w:rsid w:val="00FA2789"/>
    <w:rsid w:val="00FA2B32"/>
    <w:rsid w:val="00FA59E9"/>
    <w:rsid w:val="00FB0804"/>
    <w:rsid w:val="00FB1E0B"/>
    <w:rsid w:val="00FB5807"/>
    <w:rsid w:val="00FB65F0"/>
    <w:rsid w:val="00FC11D4"/>
    <w:rsid w:val="00FC1741"/>
    <w:rsid w:val="00FC325E"/>
    <w:rsid w:val="00FC3711"/>
    <w:rsid w:val="00FC5305"/>
    <w:rsid w:val="00FC56C0"/>
    <w:rsid w:val="00FC58D2"/>
    <w:rsid w:val="00FC653A"/>
    <w:rsid w:val="00FC77A6"/>
    <w:rsid w:val="00FC7CCD"/>
    <w:rsid w:val="00FD2700"/>
    <w:rsid w:val="00FD2CFC"/>
    <w:rsid w:val="00FD344F"/>
    <w:rsid w:val="00FD3CD7"/>
    <w:rsid w:val="00FD4B6E"/>
    <w:rsid w:val="00FE1A65"/>
    <w:rsid w:val="00FE67F0"/>
    <w:rsid w:val="00FE6F9A"/>
    <w:rsid w:val="00FE7196"/>
    <w:rsid w:val="00FE78D0"/>
    <w:rsid w:val="00FE7AEF"/>
    <w:rsid w:val="00FF0558"/>
    <w:rsid w:val="00FF14AB"/>
    <w:rsid w:val="00FF1814"/>
    <w:rsid w:val="00FF23C8"/>
    <w:rsid w:val="00FF3486"/>
    <w:rsid w:val="00FF4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672CE"/>
  <w15:chartTrackingRefBased/>
  <w15:docId w15:val="{3BAD8AC1-C27B-404D-B0AB-64C3F627B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778"/>
    <w:rPr>
      <w:sz w:val="24"/>
    </w:rPr>
  </w:style>
  <w:style w:type="paragraph" w:styleId="Heading1">
    <w:name w:val="heading 1"/>
    <w:basedOn w:val="Normal"/>
    <w:next w:val="Normal"/>
    <w:link w:val="Heading1Char"/>
    <w:uiPriority w:val="9"/>
    <w:qFormat/>
    <w:rsid w:val="007F31A2"/>
    <w:pPr>
      <w:keepNext/>
      <w:keepLines/>
      <w:spacing w:before="240" w:after="24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7F31A2"/>
    <w:pPr>
      <w:keepNext/>
      <w:keepLines/>
      <w:spacing w:before="40" w:after="24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1A6DEA"/>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B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BF5"/>
  </w:style>
  <w:style w:type="paragraph" w:styleId="Footer">
    <w:name w:val="footer"/>
    <w:basedOn w:val="Normal"/>
    <w:link w:val="FooterChar"/>
    <w:uiPriority w:val="99"/>
    <w:unhideWhenUsed/>
    <w:rsid w:val="00BF1B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BF5"/>
  </w:style>
  <w:style w:type="paragraph" w:styleId="Title">
    <w:name w:val="Title"/>
    <w:basedOn w:val="Normal"/>
    <w:next w:val="Normal"/>
    <w:link w:val="TitleChar"/>
    <w:uiPriority w:val="10"/>
    <w:qFormat/>
    <w:rsid w:val="00507BD7"/>
    <w:pPr>
      <w:spacing w:after="0" w:line="240" w:lineRule="auto"/>
      <w:contextualSpacing/>
    </w:pPr>
    <w:rPr>
      <w:rFonts w:asciiTheme="majorHAnsi" w:eastAsiaTheme="majorEastAsia" w:hAnsiTheme="majorHAnsi" w:cstheme="majorBidi"/>
      <w:spacing w:val="-10"/>
      <w:kern w:val="28"/>
      <w:sz w:val="44"/>
      <w:szCs w:val="56"/>
    </w:rPr>
  </w:style>
  <w:style w:type="character" w:customStyle="1" w:styleId="TitleChar">
    <w:name w:val="Title Char"/>
    <w:basedOn w:val="DefaultParagraphFont"/>
    <w:link w:val="Title"/>
    <w:uiPriority w:val="10"/>
    <w:rsid w:val="00507BD7"/>
    <w:rPr>
      <w:rFonts w:asciiTheme="majorHAnsi" w:eastAsiaTheme="majorEastAsia" w:hAnsiTheme="majorHAnsi" w:cstheme="majorBidi"/>
      <w:spacing w:val="-10"/>
      <w:kern w:val="28"/>
      <w:sz w:val="44"/>
      <w:szCs w:val="56"/>
    </w:rPr>
  </w:style>
  <w:style w:type="paragraph" w:styleId="Date">
    <w:name w:val="Date"/>
    <w:basedOn w:val="Normal"/>
    <w:next w:val="Normal"/>
    <w:link w:val="DateChar"/>
    <w:uiPriority w:val="99"/>
    <w:semiHidden/>
    <w:unhideWhenUsed/>
    <w:rsid w:val="00507BD7"/>
  </w:style>
  <w:style w:type="character" w:customStyle="1" w:styleId="DateChar">
    <w:name w:val="Date Char"/>
    <w:basedOn w:val="DefaultParagraphFont"/>
    <w:link w:val="Date"/>
    <w:uiPriority w:val="99"/>
    <w:semiHidden/>
    <w:rsid w:val="00507BD7"/>
  </w:style>
  <w:style w:type="character" w:customStyle="1" w:styleId="Heading1Char">
    <w:name w:val="Heading 1 Char"/>
    <w:basedOn w:val="DefaultParagraphFont"/>
    <w:link w:val="Heading1"/>
    <w:uiPriority w:val="9"/>
    <w:rsid w:val="007F31A2"/>
    <w:rPr>
      <w:rFonts w:eastAsiaTheme="majorEastAsia" w:cstheme="majorBidi"/>
      <w:b/>
      <w:sz w:val="28"/>
      <w:szCs w:val="32"/>
    </w:rPr>
  </w:style>
  <w:style w:type="character" w:customStyle="1" w:styleId="Heading2Char">
    <w:name w:val="Heading 2 Char"/>
    <w:basedOn w:val="DefaultParagraphFont"/>
    <w:link w:val="Heading2"/>
    <w:uiPriority w:val="9"/>
    <w:rsid w:val="007F31A2"/>
    <w:rPr>
      <w:rFonts w:eastAsiaTheme="majorEastAsia" w:cstheme="majorBidi"/>
      <w:b/>
      <w:sz w:val="24"/>
      <w:szCs w:val="26"/>
    </w:rPr>
  </w:style>
  <w:style w:type="paragraph" w:styleId="ListParagraph">
    <w:name w:val="List Paragraph"/>
    <w:basedOn w:val="Normal"/>
    <w:uiPriority w:val="34"/>
    <w:qFormat/>
    <w:rsid w:val="00151F50"/>
    <w:pPr>
      <w:ind w:left="720"/>
      <w:contextualSpacing/>
    </w:pPr>
  </w:style>
  <w:style w:type="character" w:styleId="Hyperlink">
    <w:name w:val="Hyperlink"/>
    <w:basedOn w:val="DefaultParagraphFont"/>
    <w:uiPriority w:val="99"/>
    <w:unhideWhenUsed/>
    <w:rsid w:val="00AE6537"/>
    <w:rPr>
      <w:color w:val="0000FF"/>
      <w:u w:val="single"/>
    </w:rPr>
  </w:style>
  <w:style w:type="character" w:styleId="UnresolvedMention">
    <w:name w:val="Unresolved Mention"/>
    <w:basedOn w:val="DefaultParagraphFont"/>
    <w:uiPriority w:val="99"/>
    <w:semiHidden/>
    <w:unhideWhenUsed/>
    <w:rsid w:val="001042B5"/>
    <w:rPr>
      <w:color w:val="605E5C"/>
      <w:shd w:val="clear" w:color="auto" w:fill="E1DFDD"/>
    </w:rPr>
  </w:style>
  <w:style w:type="character" w:styleId="FollowedHyperlink">
    <w:name w:val="FollowedHyperlink"/>
    <w:basedOn w:val="DefaultParagraphFont"/>
    <w:uiPriority w:val="99"/>
    <w:semiHidden/>
    <w:unhideWhenUsed/>
    <w:rsid w:val="00E77ADD"/>
    <w:rPr>
      <w:color w:val="954F72" w:themeColor="followedHyperlink"/>
      <w:u w:val="single"/>
    </w:rPr>
  </w:style>
  <w:style w:type="paragraph" w:styleId="NormalWeb">
    <w:name w:val="Normal (Web)"/>
    <w:basedOn w:val="Normal"/>
    <w:uiPriority w:val="99"/>
    <w:unhideWhenUsed/>
    <w:rsid w:val="00582DC2"/>
    <w:pPr>
      <w:spacing w:before="100" w:beforeAutospacing="1" w:after="100" w:afterAutospacing="1" w:line="240" w:lineRule="auto"/>
    </w:pPr>
    <w:rPr>
      <w:rFonts w:ascii="Times New Roman" w:eastAsia="Times New Roman" w:hAnsi="Times New Roman" w:cs="Times New Roman"/>
      <w:kern w:val="0"/>
      <w:szCs w:val="24"/>
      <w:lang w:eastAsia="en-US"/>
      <w14:ligatures w14:val="none"/>
    </w:rPr>
  </w:style>
  <w:style w:type="paragraph" w:styleId="FootnoteText">
    <w:name w:val="footnote text"/>
    <w:basedOn w:val="Normal"/>
    <w:link w:val="FootnoteTextChar"/>
    <w:uiPriority w:val="99"/>
    <w:unhideWhenUsed/>
    <w:rsid w:val="00644778"/>
    <w:pPr>
      <w:spacing w:after="0" w:line="240" w:lineRule="auto"/>
    </w:pPr>
    <w:rPr>
      <w:rFonts w:eastAsia="Times New Roman" w:cs="Times New Roman"/>
      <w:kern w:val="0"/>
      <w:sz w:val="20"/>
      <w:szCs w:val="20"/>
      <w:lang w:eastAsia="en-US"/>
      <w14:ligatures w14:val="none"/>
    </w:rPr>
  </w:style>
  <w:style w:type="character" w:customStyle="1" w:styleId="FootnoteTextChar">
    <w:name w:val="Footnote Text Char"/>
    <w:basedOn w:val="DefaultParagraphFont"/>
    <w:link w:val="FootnoteText"/>
    <w:uiPriority w:val="99"/>
    <w:rsid w:val="00644778"/>
    <w:rPr>
      <w:rFonts w:eastAsia="Times New Roman" w:cs="Times New Roman"/>
      <w:kern w:val="0"/>
      <w:sz w:val="20"/>
      <w:szCs w:val="20"/>
      <w:lang w:eastAsia="en-US"/>
      <w14:ligatures w14:val="none"/>
    </w:rPr>
  </w:style>
  <w:style w:type="character" w:styleId="FootnoteReference">
    <w:name w:val="footnote reference"/>
    <w:basedOn w:val="DefaultParagraphFont"/>
    <w:uiPriority w:val="99"/>
    <w:unhideWhenUsed/>
    <w:rsid w:val="00644778"/>
    <w:rPr>
      <w:vertAlign w:val="superscript"/>
    </w:rPr>
  </w:style>
  <w:style w:type="paragraph" w:styleId="EndnoteText">
    <w:name w:val="endnote text"/>
    <w:basedOn w:val="Normal"/>
    <w:link w:val="EndnoteTextChar"/>
    <w:uiPriority w:val="99"/>
    <w:semiHidden/>
    <w:unhideWhenUsed/>
    <w:rsid w:val="002252E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252E8"/>
    <w:rPr>
      <w:sz w:val="20"/>
      <w:szCs w:val="20"/>
    </w:rPr>
  </w:style>
  <w:style w:type="character" w:styleId="EndnoteReference">
    <w:name w:val="endnote reference"/>
    <w:basedOn w:val="DefaultParagraphFont"/>
    <w:uiPriority w:val="99"/>
    <w:semiHidden/>
    <w:unhideWhenUsed/>
    <w:rsid w:val="002252E8"/>
    <w:rPr>
      <w:vertAlign w:val="superscript"/>
    </w:rPr>
  </w:style>
  <w:style w:type="character" w:customStyle="1" w:styleId="field-wrapper">
    <w:name w:val="field-wrapper"/>
    <w:basedOn w:val="DefaultParagraphFont"/>
    <w:rsid w:val="00397738"/>
  </w:style>
  <w:style w:type="paragraph" w:styleId="TOCHeading">
    <w:name w:val="TOC Heading"/>
    <w:basedOn w:val="Heading1"/>
    <w:next w:val="Normal"/>
    <w:uiPriority w:val="39"/>
    <w:unhideWhenUsed/>
    <w:qFormat/>
    <w:rsid w:val="004C3EFC"/>
    <w:pPr>
      <w:outlineLvl w:val="9"/>
    </w:pPr>
    <w:rPr>
      <w:rFonts w:asciiTheme="majorHAnsi" w:hAnsiTheme="majorHAnsi"/>
      <w:b w:val="0"/>
      <w:color w:val="2F5496" w:themeColor="accent1" w:themeShade="BF"/>
      <w:kern w:val="0"/>
      <w:sz w:val="32"/>
      <w:lang w:eastAsia="en-US"/>
      <w14:ligatures w14:val="none"/>
    </w:rPr>
  </w:style>
  <w:style w:type="paragraph" w:styleId="TOC1">
    <w:name w:val="toc 1"/>
    <w:basedOn w:val="Normal"/>
    <w:next w:val="Normal"/>
    <w:autoRedefine/>
    <w:uiPriority w:val="39"/>
    <w:unhideWhenUsed/>
    <w:rsid w:val="004C3EFC"/>
    <w:pPr>
      <w:spacing w:after="100"/>
    </w:pPr>
  </w:style>
  <w:style w:type="paragraph" w:styleId="TOC2">
    <w:name w:val="toc 2"/>
    <w:basedOn w:val="Normal"/>
    <w:next w:val="Normal"/>
    <w:autoRedefine/>
    <w:uiPriority w:val="39"/>
    <w:unhideWhenUsed/>
    <w:rsid w:val="004C3EFC"/>
    <w:pPr>
      <w:spacing w:after="100"/>
      <w:ind w:left="240"/>
    </w:pPr>
  </w:style>
  <w:style w:type="paragraph" w:customStyle="1" w:styleId="xmsonormal">
    <w:name w:val="x_msonormal"/>
    <w:basedOn w:val="Normal"/>
    <w:rsid w:val="00E306D6"/>
    <w:pPr>
      <w:spacing w:after="0" w:line="240" w:lineRule="auto"/>
    </w:pPr>
    <w:rPr>
      <w:rFonts w:ascii="Calibri" w:eastAsiaTheme="minorHAnsi" w:hAnsi="Calibri" w:cs="Calibri"/>
      <w:kern w:val="0"/>
      <w:sz w:val="22"/>
      <w:lang w:eastAsia="en-US"/>
      <w14:ligatures w14:val="none"/>
    </w:rPr>
  </w:style>
  <w:style w:type="paragraph" w:customStyle="1" w:styleId="xxmsofootnotetext">
    <w:name w:val="x_xmsofootnotetext"/>
    <w:basedOn w:val="Normal"/>
    <w:rsid w:val="00E306D6"/>
    <w:pPr>
      <w:spacing w:after="0" w:line="240" w:lineRule="auto"/>
    </w:pPr>
    <w:rPr>
      <w:rFonts w:ascii="Calibri" w:eastAsiaTheme="minorHAnsi" w:hAnsi="Calibri" w:cs="Calibri"/>
      <w:kern w:val="0"/>
      <w:sz w:val="22"/>
      <w:lang w:eastAsia="en-US"/>
      <w14:ligatures w14:val="none"/>
    </w:rPr>
  </w:style>
  <w:style w:type="character" w:customStyle="1" w:styleId="Heading3Char">
    <w:name w:val="Heading 3 Char"/>
    <w:basedOn w:val="DefaultParagraphFont"/>
    <w:link w:val="Heading3"/>
    <w:uiPriority w:val="9"/>
    <w:semiHidden/>
    <w:rsid w:val="001A6DEA"/>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414D18"/>
    <w:pPr>
      <w:spacing w:after="0" w:line="240" w:lineRule="auto"/>
    </w:pPr>
    <w:rPr>
      <w:sz w:val="24"/>
    </w:rPr>
  </w:style>
  <w:style w:type="character" w:styleId="CommentReference">
    <w:name w:val="annotation reference"/>
    <w:basedOn w:val="DefaultParagraphFont"/>
    <w:uiPriority w:val="99"/>
    <w:semiHidden/>
    <w:unhideWhenUsed/>
    <w:rsid w:val="0075353E"/>
    <w:rPr>
      <w:sz w:val="16"/>
      <w:szCs w:val="16"/>
    </w:rPr>
  </w:style>
  <w:style w:type="paragraph" w:styleId="CommentText">
    <w:name w:val="annotation text"/>
    <w:basedOn w:val="Normal"/>
    <w:link w:val="CommentTextChar"/>
    <w:uiPriority w:val="99"/>
    <w:semiHidden/>
    <w:unhideWhenUsed/>
    <w:rsid w:val="0075353E"/>
    <w:pPr>
      <w:spacing w:line="240" w:lineRule="auto"/>
    </w:pPr>
    <w:rPr>
      <w:sz w:val="20"/>
      <w:szCs w:val="20"/>
    </w:rPr>
  </w:style>
  <w:style w:type="character" w:customStyle="1" w:styleId="CommentTextChar">
    <w:name w:val="Comment Text Char"/>
    <w:basedOn w:val="DefaultParagraphFont"/>
    <w:link w:val="CommentText"/>
    <w:uiPriority w:val="99"/>
    <w:semiHidden/>
    <w:rsid w:val="0075353E"/>
    <w:rPr>
      <w:sz w:val="20"/>
      <w:szCs w:val="20"/>
    </w:rPr>
  </w:style>
  <w:style w:type="paragraph" w:styleId="CommentSubject">
    <w:name w:val="annotation subject"/>
    <w:basedOn w:val="CommentText"/>
    <w:next w:val="CommentText"/>
    <w:link w:val="CommentSubjectChar"/>
    <w:uiPriority w:val="99"/>
    <w:semiHidden/>
    <w:unhideWhenUsed/>
    <w:rsid w:val="0075353E"/>
    <w:rPr>
      <w:b/>
      <w:bCs/>
    </w:rPr>
  </w:style>
  <w:style w:type="character" w:customStyle="1" w:styleId="CommentSubjectChar">
    <w:name w:val="Comment Subject Char"/>
    <w:basedOn w:val="CommentTextChar"/>
    <w:link w:val="CommentSubject"/>
    <w:uiPriority w:val="99"/>
    <w:semiHidden/>
    <w:rsid w:val="0075353E"/>
    <w:rPr>
      <w:b/>
      <w:bCs/>
      <w:sz w:val="20"/>
      <w:szCs w:val="20"/>
    </w:rPr>
  </w:style>
  <w:style w:type="paragraph" w:customStyle="1" w:styleId="paragraph">
    <w:name w:val="paragraph"/>
    <w:basedOn w:val="Normal"/>
    <w:rsid w:val="00582E92"/>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customStyle="1" w:styleId="normaltextrun">
    <w:name w:val="normaltextrun"/>
    <w:basedOn w:val="DefaultParagraphFont"/>
    <w:rsid w:val="00582E92"/>
  </w:style>
  <w:style w:type="character" w:customStyle="1" w:styleId="eop">
    <w:name w:val="eop"/>
    <w:basedOn w:val="DefaultParagraphFont"/>
    <w:rsid w:val="00582E92"/>
  </w:style>
  <w:style w:type="character" w:customStyle="1" w:styleId="superscript">
    <w:name w:val="superscript"/>
    <w:basedOn w:val="DefaultParagraphFont"/>
    <w:rsid w:val="00582E92"/>
  </w:style>
  <w:style w:type="character" w:customStyle="1" w:styleId="scxw120725529">
    <w:name w:val="scxw120725529"/>
    <w:basedOn w:val="DefaultParagraphFont"/>
    <w:rsid w:val="006A0611"/>
  </w:style>
  <w:style w:type="character" w:customStyle="1" w:styleId="scxw119898807">
    <w:name w:val="scxw119898807"/>
    <w:basedOn w:val="DefaultParagraphFont"/>
    <w:rsid w:val="00D309F0"/>
  </w:style>
  <w:style w:type="character" w:customStyle="1" w:styleId="scxw249627086">
    <w:name w:val="scxw249627086"/>
    <w:basedOn w:val="DefaultParagraphFont"/>
    <w:rsid w:val="006C7875"/>
  </w:style>
  <w:style w:type="table" w:styleId="TableGrid">
    <w:name w:val="Table Grid"/>
    <w:basedOn w:val="TableNormal"/>
    <w:uiPriority w:val="39"/>
    <w:rsid w:val="00E01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wobullets">
    <w:name w:val="Bulleted List w/o bullets"/>
    <w:basedOn w:val="ListParagraph"/>
    <w:qFormat/>
    <w:rsid w:val="00FA2789"/>
    <w:pPr>
      <w:numPr>
        <w:numId w:val="11"/>
      </w:numPr>
      <w:spacing w:after="0" w:line="280" w:lineRule="exact"/>
    </w:pPr>
    <w:rPr>
      <w:rFonts w:cs="Times New Roman"/>
      <w:kern w:val="0"/>
      <w:sz w:val="22"/>
      <w:szCs w:val="20"/>
      <w:lang w:eastAsia="en-US"/>
      <w14:ligatures w14:val="none"/>
    </w:rPr>
  </w:style>
  <w:style w:type="character" w:styleId="Strong">
    <w:name w:val="Strong"/>
    <w:aliases w:val="Strong - Bold text"/>
    <w:basedOn w:val="DefaultParagraphFont"/>
    <w:uiPriority w:val="22"/>
    <w:qFormat/>
    <w:rsid w:val="009B44C9"/>
    <w:rPr>
      <w:rFonts w:ascii="Arial" w:hAnsi="Arial"/>
      <w:b/>
      <w:bCs/>
      <w:i w:val="0"/>
    </w:rPr>
  </w:style>
  <w:style w:type="character" w:styleId="Emphasis">
    <w:name w:val="Emphasis"/>
    <w:basedOn w:val="DefaultParagraphFont"/>
    <w:uiPriority w:val="20"/>
    <w:qFormat/>
    <w:rsid w:val="00274BAB"/>
    <w:rPr>
      <w:rFonts w:ascii="Arial" w:hAnsi="Arial"/>
      <w:b w:val="0"/>
      <w:i/>
      <w:iCs/>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95749">
      <w:bodyDiv w:val="1"/>
      <w:marLeft w:val="0"/>
      <w:marRight w:val="0"/>
      <w:marTop w:val="0"/>
      <w:marBottom w:val="0"/>
      <w:divBdr>
        <w:top w:val="none" w:sz="0" w:space="0" w:color="auto"/>
        <w:left w:val="none" w:sz="0" w:space="0" w:color="auto"/>
        <w:bottom w:val="none" w:sz="0" w:space="0" w:color="auto"/>
        <w:right w:val="none" w:sz="0" w:space="0" w:color="auto"/>
      </w:divBdr>
      <w:divsChild>
        <w:div w:id="1484084677">
          <w:marLeft w:val="0"/>
          <w:marRight w:val="0"/>
          <w:marTop w:val="0"/>
          <w:marBottom w:val="0"/>
          <w:divBdr>
            <w:top w:val="none" w:sz="0" w:space="0" w:color="auto"/>
            <w:left w:val="none" w:sz="0" w:space="0" w:color="auto"/>
            <w:bottom w:val="none" w:sz="0" w:space="0" w:color="auto"/>
            <w:right w:val="none" w:sz="0" w:space="0" w:color="auto"/>
          </w:divBdr>
        </w:div>
        <w:div w:id="2047679488">
          <w:marLeft w:val="0"/>
          <w:marRight w:val="0"/>
          <w:marTop w:val="0"/>
          <w:marBottom w:val="0"/>
          <w:divBdr>
            <w:top w:val="none" w:sz="0" w:space="0" w:color="auto"/>
            <w:left w:val="none" w:sz="0" w:space="0" w:color="auto"/>
            <w:bottom w:val="none" w:sz="0" w:space="0" w:color="auto"/>
            <w:right w:val="none" w:sz="0" w:space="0" w:color="auto"/>
          </w:divBdr>
        </w:div>
        <w:div w:id="809831671">
          <w:marLeft w:val="0"/>
          <w:marRight w:val="0"/>
          <w:marTop w:val="0"/>
          <w:marBottom w:val="0"/>
          <w:divBdr>
            <w:top w:val="none" w:sz="0" w:space="0" w:color="auto"/>
            <w:left w:val="none" w:sz="0" w:space="0" w:color="auto"/>
            <w:bottom w:val="none" w:sz="0" w:space="0" w:color="auto"/>
            <w:right w:val="none" w:sz="0" w:space="0" w:color="auto"/>
          </w:divBdr>
        </w:div>
        <w:div w:id="1860271061">
          <w:marLeft w:val="0"/>
          <w:marRight w:val="0"/>
          <w:marTop w:val="0"/>
          <w:marBottom w:val="0"/>
          <w:divBdr>
            <w:top w:val="none" w:sz="0" w:space="0" w:color="auto"/>
            <w:left w:val="none" w:sz="0" w:space="0" w:color="auto"/>
            <w:bottom w:val="none" w:sz="0" w:space="0" w:color="auto"/>
            <w:right w:val="none" w:sz="0" w:space="0" w:color="auto"/>
          </w:divBdr>
        </w:div>
        <w:div w:id="1008409936">
          <w:marLeft w:val="0"/>
          <w:marRight w:val="0"/>
          <w:marTop w:val="0"/>
          <w:marBottom w:val="0"/>
          <w:divBdr>
            <w:top w:val="none" w:sz="0" w:space="0" w:color="auto"/>
            <w:left w:val="none" w:sz="0" w:space="0" w:color="auto"/>
            <w:bottom w:val="none" w:sz="0" w:space="0" w:color="auto"/>
            <w:right w:val="none" w:sz="0" w:space="0" w:color="auto"/>
          </w:divBdr>
        </w:div>
      </w:divsChild>
    </w:div>
    <w:div w:id="247930307">
      <w:bodyDiv w:val="1"/>
      <w:marLeft w:val="0"/>
      <w:marRight w:val="0"/>
      <w:marTop w:val="0"/>
      <w:marBottom w:val="0"/>
      <w:divBdr>
        <w:top w:val="none" w:sz="0" w:space="0" w:color="auto"/>
        <w:left w:val="none" w:sz="0" w:space="0" w:color="auto"/>
        <w:bottom w:val="none" w:sz="0" w:space="0" w:color="auto"/>
        <w:right w:val="none" w:sz="0" w:space="0" w:color="auto"/>
      </w:divBdr>
    </w:div>
    <w:div w:id="295989146">
      <w:bodyDiv w:val="1"/>
      <w:marLeft w:val="0"/>
      <w:marRight w:val="0"/>
      <w:marTop w:val="0"/>
      <w:marBottom w:val="0"/>
      <w:divBdr>
        <w:top w:val="none" w:sz="0" w:space="0" w:color="auto"/>
        <w:left w:val="none" w:sz="0" w:space="0" w:color="auto"/>
        <w:bottom w:val="none" w:sz="0" w:space="0" w:color="auto"/>
        <w:right w:val="none" w:sz="0" w:space="0" w:color="auto"/>
      </w:divBdr>
      <w:divsChild>
        <w:div w:id="1017654391">
          <w:marLeft w:val="0"/>
          <w:marRight w:val="0"/>
          <w:marTop w:val="0"/>
          <w:marBottom w:val="0"/>
          <w:divBdr>
            <w:top w:val="none" w:sz="0" w:space="0" w:color="auto"/>
            <w:left w:val="none" w:sz="0" w:space="0" w:color="auto"/>
            <w:bottom w:val="none" w:sz="0" w:space="0" w:color="auto"/>
            <w:right w:val="none" w:sz="0" w:space="0" w:color="auto"/>
          </w:divBdr>
        </w:div>
        <w:div w:id="1464736385">
          <w:marLeft w:val="0"/>
          <w:marRight w:val="0"/>
          <w:marTop w:val="0"/>
          <w:marBottom w:val="0"/>
          <w:divBdr>
            <w:top w:val="none" w:sz="0" w:space="0" w:color="auto"/>
            <w:left w:val="none" w:sz="0" w:space="0" w:color="auto"/>
            <w:bottom w:val="none" w:sz="0" w:space="0" w:color="auto"/>
            <w:right w:val="none" w:sz="0" w:space="0" w:color="auto"/>
          </w:divBdr>
        </w:div>
        <w:div w:id="1634872557">
          <w:marLeft w:val="0"/>
          <w:marRight w:val="0"/>
          <w:marTop w:val="0"/>
          <w:marBottom w:val="0"/>
          <w:divBdr>
            <w:top w:val="none" w:sz="0" w:space="0" w:color="auto"/>
            <w:left w:val="none" w:sz="0" w:space="0" w:color="auto"/>
            <w:bottom w:val="none" w:sz="0" w:space="0" w:color="auto"/>
            <w:right w:val="none" w:sz="0" w:space="0" w:color="auto"/>
          </w:divBdr>
        </w:div>
      </w:divsChild>
    </w:div>
    <w:div w:id="413891959">
      <w:bodyDiv w:val="1"/>
      <w:marLeft w:val="0"/>
      <w:marRight w:val="0"/>
      <w:marTop w:val="0"/>
      <w:marBottom w:val="0"/>
      <w:divBdr>
        <w:top w:val="none" w:sz="0" w:space="0" w:color="auto"/>
        <w:left w:val="none" w:sz="0" w:space="0" w:color="auto"/>
        <w:bottom w:val="none" w:sz="0" w:space="0" w:color="auto"/>
        <w:right w:val="none" w:sz="0" w:space="0" w:color="auto"/>
      </w:divBdr>
    </w:div>
    <w:div w:id="439644398">
      <w:bodyDiv w:val="1"/>
      <w:marLeft w:val="0"/>
      <w:marRight w:val="0"/>
      <w:marTop w:val="0"/>
      <w:marBottom w:val="0"/>
      <w:divBdr>
        <w:top w:val="none" w:sz="0" w:space="0" w:color="auto"/>
        <w:left w:val="none" w:sz="0" w:space="0" w:color="auto"/>
        <w:bottom w:val="none" w:sz="0" w:space="0" w:color="auto"/>
        <w:right w:val="none" w:sz="0" w:space="0" w:color="auto"/>
      </w:divBdr>
    </w:div>
    <w:div w:id="792679126">
      <w:bodyDiv w:val="1"/>
      <w:marLeft w:val="0"/>
      <w:marRight w:val="0"/>
      <w:marTop w:val="0"/>
      <w:marBottom w:val="0"/>
      <w:divBdr>
        <w:top w:val="none" w:sz="0" w:space="0" w:color="auto"/>
        <w:left w:val="none" w:sz="0" w:space="0" w:color="auto"/>
        <w:bottom w:val="none" w:sz="0" w:space="0" w:color="auto"/>
        <w:right w:val="none" w:sz="0" w:space="0" w:color="auto"/>
      </w:divBdr>
    </w:div>
    <w:div w:id="892421794">
      <w:bodyDiv w:val="1"/>
      <w:marLeft w:val="0"/>
      <w:marRight w:val="0"/>
      <w:marTop w:val="0"/>
      <w:marBottom w:val="0"/>
      <w:divBdr>
        <w:top w:val="none" w:sz="0" w:space="0" w:color="auto"/>
        <w:left w:val="none" w:sz="0" w:space="0" w:color="auto"/>
        <w:bottom w:val="none" w:sz="0" w:space="0" w:color="auto"/>
        <w:right w:val="none" w:sz="0" w:space="0" w:color="auto"/>
      </w:divBdr>
      <w:divsChild>
        <w:div w:id="1484077011">
          <w:marLeft w:val="0"/>
          <w:marRight w:val="0"/>
          <w:marTop w:val="0"/>
          <w:marBottom w:val="0"/>
          <w:divBdr>
            <w:top w:val="none" w:sz="0" w:space="0" w:color="auto"/>
            <w:left w:val="none" w:sz="0" w:space="0" w:color="auto"/>
            <w:bottom w:val="none" w:sz="0" w:space="0" w:color="auto"/>
            <w:right w:val="none" w:sz="0" w:space="0" w:color="auto"/>
          </w:divBdr>
        </w:div>
        <w:div w:id="703486036">
          <w:marLeft w:val="0"/>
          <w:marRight w:val="0"/>
          <w:marTop w:val="0"/>
          <w:marBottom w:val="0"/>
          <w:divBdr>
            <w:top w:val="none" w:sz="0" w:space="0" w:color="auto"/>
            <w:left w:val="none" w:sz="0" w:space="0" w:color="auto"/>
            <w:bottom w:val="none" w:sz="0" w:space="0" w:color="auto"/>
            <w:right w:val="none" w:sz="0" w:space="0" w:color="auto"/>
          </w:divBdr>
        </w:div>
        <w:div w:id="759526953">
          <w:marLeft w:val="0"/>
          <w:marRight w:val="0"/>
          <w:marTop w:val="0"/>
          <w:marBottom w:val="0"/>
          <w:divBdr>
            <w:top w:val="none" w:sz="0" w:space="0" w:color="auto"/>
            <w:left w:val="none" w:sz="0" w:space="0" w:color="auto"/>
            <w:bottom w:val="none" w:sz="0" w:space="0" w:color="auto"/>
            <w:right w:val="none" w:sz="0" w:space="0" w:color="auto"/>
          </w:divBdr>
        </w:div>
        <w:div w:id="780878404">
          <w:marLeft w:val="0"/>
          <w:marRight w:val="0"/>
          <w:marTop w:val="0"/>
          <w:marBottom w:val="0"/>
          <w:divBdr>
            <w:top w:val="none" w:sz="0" w:space="0" w:color="auto"/>
            <w:left w:val="none" w:sz="0" w:space="0" w:color="auto"/>
            <w:bottom w:val="none" w:sz="0" w:space="0" w:color="auto"/>
            <w:right w:val="none" w:sz="0" w:space="0" w:color="auto"/>
          </w:divBdr>
        </w:div>
        <w:div w:id="1374228818">
          <w:marLeft w:val="0"/>
          <w:marRight w:val="0"/>
          <w:marTop w:val="0"/>
          <w:marBottom w:val="0"/>
          <w:divBdr>
            <w:top w:val="none" w:sz="0" w:space="0" w:color="auto"/>
            <w:left w:val="none" w:sz="0" w:space="0" w:color="auto"/>
            <w:bottom w:val="none" w:sz="0" w:space="0" w:color="auto"/>
            <w:right w:val="none" w:sz="0" w:space="0" w:color="auto"/>
          </w:divBdr>
        </w:div>
        <w:div w:id="178735314">
          <w:marLeft w:val="0"/>
          <w:marRight w:val="0"/>
          <w:marTop w:val="0"/>
          <w:marBottom w:val="0"/>
          <w:divBdr>
            <w:top w:val="none" w:sz="0" w:space="0" w:color="auto"/>
            <w:left w:val="none" w:sz="0" w:space="0" w:color="auto"/>
            <w:bottom w:val="none" w:sz="0" w:space="0" w:color="auto"/>
            <w:right w:val="none" w:sz="0" w:space="0" w:color="auto"/>
          </w:divBdr>
        </w:div>
      </w:divsChild>
    </w:div>
    <w:div w:id="1005978487">
      <w:bodyDiv w:val="1"/>
      <w:marLeft w:val="0"/>
      <w:marRight w:val="0"/>
      <w:marTop w:val="0"/>
      <w:marBottom w:val="0"/>
      <w:divBdr>
        <w:top w:val="none" w:sz="0" w:space="0" w:color="auto"/>
        <w:left w:val="none" w:sz="0" w:space="0" w:color="auto"/>
        <w:bottom w:val="none" w:sz="0" w:space="0" w:color="auto"/>
        <w:right w:val="none" w:sz="0" w:space="0" w:color="auto"/>
      </w:divBdr>
      <w:divsChild>
        <w:div w:id="883827226">
          <w:marLeft w:val="0"/>
          <w:marRight w:val="0"/>
          <w:marTop w:val="0"/>
          <w:marBottom w:val="0"/>
          <w:divBdr>
            <w:top w:val="none" w:sz="0" w:space="0" w:color="auto"/>
            <w:left w:val="none" w:sz="0" w:space="0" w:color="auto"/>
            <w:bottom w:val="none" w:sz="0" w:space="0" w:color="auto"/>
            <w:right w:val="none" w:sz="0" w:space="0" w:color="auto"/>
          </w:divBdr>
        </w:div>
        <w:div w:id="1418020296">
          <w:marLeft w:val="0"/>
          <w:marRight w:val="0"/>
          <w:marTop w:val="0"/>
          <w:marBottom w:val="0"/>
          <w:divBdr>
            <w:top w:val="none" w:sz="0" w:space="0" w:color="auto"/>
            <w:left w:val="none" w:sz="0" w:space="0" w:color="auto"/>
            <w:bottom w:val="none" w:sz="0" w:space="0" w:color="auto"/>
            <w:right w:val="none" w:sz="0" w:space="0" w:color="auto"/>
          </w:divBdr>
        </w:div>
        <w:div w:id="598147680">
          <w:marLeft w:val="0"/>
          <w:marRight w:val="0"/>
          <w:marTop w:val="0"/>
          <w:marBottom w:val="0"/>
          <w:divBdr>
            <w:top w:val="none" w:sz="0" w:space="0" w:color="auto"/>
            <w:left w:val="none" w:sz="0" w:space="0" w:color="auto"/>
            <w:bottom w:val="none" w:sz="0" w:space="0" w:color="auto"/>
            <w:right w:val="none" w:sz="0" w:space="0" w:color="auto"/>
          </w:divBdr>
        </w:div>
        <w:div w:id="701713922">
          <w:marLeft w:val="0"/>
          <w:marRight w:val="0"/>
          <w:marTop w:val="0"/>
          <w:marBottom w:val="0"/>
          <w:divBdr>
            <w:top w:val="none" w:sz="0" w:space="0" w:color="auto"/>
            <w:left w:val="none" w:sz="0" w:space="0" w:color="auto"/>
            <w:bottom w:val="none" w:sz="0" w:space="0" w:color="auto"/>
            <w:right w:val="none" w:sz="0" w:space="0" w:color="auto"/>
          </w:divBdr>
        </w:div>
      </w:divsChild>
    </w:div>
    <w:div w:id="1099447172">
      <w:bodyDiv w:val="1"/>
      <w:marLeft w:val="0"/>
      <w:marRight w:val="0"/>
      <w:marTop w:val="0"/>
      <w:marBottom w:val="0"/>
      <w:divBdr>
        <w:top w:val="none" w:sz="0" w:space="0" w:color="auto"/>
        <w:left w:val="none" w:sz="0" w:space="0" w:color="auto"/>
        <w:bottom w:val="none" w:sz="0" w:space="0" w:color="auto"/>
        <w:right w:val="none" w:sz="0" w:space="0" w:color="auto"/>
      </w:divBdr>
    </w:div>
    <w:div w:id="1217742370">
      <w:bodyDiv w:val="1"/>
      <w:marLeft w:val="0"/>
      <w:marRight w:val="0"/>
      <w:marTop w:val="0"/>
      <w:marBottom w:val="0"/>
      <w:divBdr>
        <w:top w:val="none" w:sz="0" w:space="0" w:color="auto"/>
        <w:left w:val="none" w:sz="0" w:space="0" w:color="auto"/>
        <w:bottom w:val="none" w:sz="0" w:space="0" w:color="auto"/>
        <w:right w:val="none" w:sz="0" w:space="0" w:color="auto"/>
      </w:divBdr>
    </w:div>
    <w:div w:id="1300721877">
      <w:bodyDiv w:val="1"/>
      <w:marLeft w:val="0"/>
      <w:marRight w:val="0"/>
      <w:marTop w:val="0"/>
      <w:marBottom w:val="0"/>
      <w:divBdr>
        <w:top w:val="none" w:sz="0" w:space="0" w:color="auto"/>
        <w:left w:val="none" w:sz="0" w:space="0" w:color="auto"/>
        <w:bottom w:val="none" w:sz="0" w:space="0" w:color="auto"/>
        <w:right w:val="none" w:sz="0" w:space="0" w:color="auto"/>
      </w:divBdr>
      <w:divsChild>
        <w:div w:id="522089366">
          <w:marLeft w:val="0"/>
          <w:marRight w:val="0"/>
          <w:marTop w:val="0"/>
          <w:marBottom w:val="0"/>
          <w:divBdr>
            <w:top w:val="none" w:sz="0" w:space="0" w:color="auto"/>
            <w:left w:val="none" w:sz="0" w:space="0" w:color="auto"/>
            <w:bottom w:val="none" w:sz="0" w:space="0" w:color="auto"/>
            <w:right w:val="none" w:sz="0" w:space="0" w:color="auto"/>
          </w:divBdr>
        </w:div>
        <w:div w:id="2040933185">
          <w:marLeft w:val="0"/>
          <w:marRight w:val="0"/>
          <w:marTop w:val="0"/>
          <w:marBottom w:val="0"/>
          <w:divBdr>
            <w:top w:val="none" w:sz="0" w:space="0" w:color="auto"/>
            <w:left w:val="none" w:sz="0" w:space="0" w:color="auto"/>
            <w:bottom w:val="none" w:sz="0" w:space="0" w:color="auto"/>
            <w:right w:val="none" w:sz="0" w:space="0" w:color="auto"/>
          </w:divBdr>
        </w:div>
        <w:div w:id="2053967037">
          <w:marLeft w:val="0"/>
          <w:marRight w:val="0"/>
          <w:marTop w:val="0"/>
          <w:marBottom w:val="0"/>
          <w:divBdr>
            <w:top w:val="none" w:sz="0" w:space="0" w:color="auto"/>
            <w:left w:val="none" w:sz="0" w:space="0" w:color="auto"/>
            <w:bottom w:val="none" w:sz="0" w:space="0" w:color="auto"/>
            <w:right w:val="none" w:sz="0" w:space="0" w:color="auto"/>
          </w:divBdr>
        </w:div>
        <w:div w:id="915433004">
          <w:marLeft w:val="0"/>
          <w:marRight w:val="0"/>
          <w:marTop w:val="0"/>
          <w:marBottom w:val="0"/>
          <w:divBdr>
            <w:top w:val="none" w:sz="0" w:space="0" w:color="auto"/>
            <w:left w:val="none" w:sz="0" w:space="0" w:color="auto"/>
            <w:bottom w:val="none" w:sz="0" w:space="0" w:color="auto"/>
            <w:right w:val="none" w:sz="0" w:space="0" w:color="auto"/>
          </w:divBdr>
        </w:div>
      </w:divsChild>
    </w:div>
    <w:div w:id="1348408343">
      <w:bodyDiv w:val="1"/>
      <w:marLeft w:val="0"/>
      <w:marRight w:val="0"/>
      <w:marTop w:val="0"/>
      <w:marBottom w:val="0"/>
      <w:divBdr>
        <w:top w:val="none" w:sz="0" w:space="0" w:color="auto"/>
        <w:left w:val="none" w:sz="0" w:space="0" w:color="auto"/>
        <w:bottom w:val="none" w:sz="0" w:space="0" w:color="auto"/>
        <w:right w:val="none" w:sz="0" w:space="0" w:color="auto"/>
      </w:divBdr>
      <w:divsChild>
        <w:div w:id="1257053442">
          <w:marLeft w:val="0"/>
          <w:marRight w:val="0"/>
          <w:marTop w:val="0"/>
          <w:marBottom w:val="0"/>
          <w:divBdr>
            <w:top w:val="none" w:sz="0" w:space="0" w:color="auto"/>
            <w:left w:val="none" w:sz="0" w:space="0" w:color="auto"/>
            <w:bottom w:val="none" w:sz="0" w:space="0" w:color="auto"/>
            <w:right w:val="none" w:sz="0" w:space="0" w:color="auto"/>
          </w:divBdr>
        </w:div>
        <w:div w:id="1396585376">
          <w:marLeft w:val="0"/>
          <w:marRight w:val="0"/>
          <w:marTop w:val="0"/>
          <w:marBottom w:val="0"/>
          <w:divBdr>
            <w:top w:val="none" w:sz="0" w:space="0" w:color="auto"/>
            <w:left w:val="none" w:sz="0" w:space="0" w:color="auto"/>
            <w:bottom w:val="none" w:sz="0" w:space="0" w:color="auto"/>
            <w:right w:val="none" w:sz="0" w:space="0" w:color="auto"/>
          </w:divBdr>
        </w:div>
        <w:div w:id="541282326">
          <w:marLeft w:val="0"/>
          <w:marRight w:val="0"/>
          <w:marTop w:val="0"/>
          <w:marBottom w:val="0"/>
          <w:divBdr>
            <w:top w:val="none" w:sz="0" w:space="0" w:color="auto"/>
            <w:left w:val="none" w:sz="0" w:space="0" w:color="auto"/>
            <w:bottom w:val="none" w:sz="0" w:space="0" w:color="auto"/>
            <w:right w:val="none" w:sz="0" w:space="0" w:color="auto"/>
          </w:divBdr>
        </w:div>
        <w:div w:id="165438980">
          <w:marLeft w:val="0"/>
          <w:marRight w:val="0"/>
          <w:marTop w:val="0"/>
          <w:marBottom w:val="0"/>
          <w:divBdr>
            <w:top w:val="none" w:sz="0" w:space="0" w:color="auto"/>
            <w:left w:val="none" w:sz="0" w:space="0" w:color="auto"/>
            <w:bottom w:val="none" w:sz="0" w:space="0" w:color="auto"/>
            <w:right w:val="none" w:sz="0" w:space="0" w:color="auto"/>
          </w:divBdr>
        </w:div>
      </w:divsChild>
    </w:div>
    <w:div w:id="1373531213">
      <w:bodyDiv w:val="1"/>
      <w:marLeft w:val="0"/>
      <w:marRight w:val="0"/>
      <w:marTop w:val="0"/>
      <w:marBottom w:val="0"/>
      <w:divBdr>
        <w:top w:val="none" w:sz="0" w:space="0" w:color="auto"/>
        <w:left w:val="none" w:sz="0" w:space="0" w:color="auto"/>
        <w:bottom w:val="none" w:sz="0" w:space="0" w:color="auto"/>
        <w:right w:val="none" w:sz="0" w:space="0" w:color="auto"/>
      </w:divBdr>
      <w:divsChild>
        <w:div w:id="986014168">
          <w:marLeft w:val="0"/>
          <w:marRight w:val="0"/>
          <w:marTop w:val="0"/>
          <w:marBottom w:val="0"/>
          <w:divBdr>
            <w:top w:val="none" w:sz="0" w:space="0" w:color="auto"/>
            <w:left w:val="none" w:sz="0" w:space="0" w:color="auto"/>
            <w:bottom w:val="none" w:sz="0" w:space="0" w:color="auto"/>
            <w:right w:val="none" w:sz="0" w:space="0" w:color="auto"/>
          </w:divBdr>
        </w:div>
        <w:div w:id="1355887242">
          <w:marLeft w:val="0"/>
          <w:marRight w:val="0"/>
          <w:marTop w:val="0"/>
          <w:marBottom w:val="0"/>
          <w:divBdr>
            <w:top w:val="none" w:sz="0" w:space="0" w:color="auto"/>
            <w:left w:val="none" w:sz="0" w:space="0" w:color="auto"/>
            <w:bottom w:val="none" w:sz="0" w:space="0" w:color="auto"/>
            <w:right w:val="none" w:sz="0" w:space="0" w:color="auto"/>
          </w:divBdr>
        </w:div>
        <w:div w:id="1724909392">
          <w:marLeft w:val="0"/>
          <w:marRight w:val="0"/>
          <w:marTop w:val="0"/>
          <w:marBottom w:val="0"/>
          <w:divBdr>
            <w:top w:val="none" w:sz="0" w:space="0" w:color="auto"/>
            <w:left w:val="none" w:sz="0" w:space="0" w:color="auto"/>
            <w:bottom w:val="none" w:sz="0" w:space="0" w:color="auto"/>
            <w:right w:val="none" w:sz="0" w:space="0" w:color="auto"/>
          </w:divBdr>
        </w:div>
        <w:div w:id="64030454">
          <w:marLeft w:val="0"/>
          <w:marRight w:val="0"/>
          <w:marTop w:val="0"/>
          <w:marBottom w:val="0"/>
          <w:divBdr>
            <w:top w:val="none" w:sz="0" w:space="0" w:color="auto"/>
            <w:left w:val="none" w:sz="0" w:space="0" w:color="auto"/>
            <w:bottom w:val="none" w:sz="0" w:space="0" w:color="auto"/>
            <w:right w:val="none" w:sz="0" w:space="0" w:color="auto"/>
          </w:divBdr>
        </w:div>
        <w:div w:id="340855991">
          <w:marLeft w:val="0"/>
          <w:marRight w:val="0"/>
          <w:marTop w:val="0"/>
          <w:marBottom w:val="0"/>
          <w:divBdr>
            <w:top w:val="none" w:sz="0" w:space="0" w:color="auto"/>
            <w:left w:val="none" w:sz="0" w:space="0" w:color="auto"/>
            <w:bottom w:val="none" w:sz="0" w:space="0" w:color="auto"/>
            <w:right w:val="none" w:sz="0" w:space="0" w:color="auto"/>
          </w:divBdr>
        </w:div>
      </w:divsChild>
    </w:div>
    <w:div w:id="1466118434">
      <w:bodyDiv w:val="1"/>
      <w:marLeft w:val="0"/>
      <w:marRight w:val="0"/>
      <w:marTop w:val="0"/>
      <w:marBottom w:val="0"/>
      <w:divBdr>
        <w:top w:val="none" w:sz="0" w:space="0" w:color="auto"/>
        <w:left w:val="none" w:sz="0" w:space="0" w:color="auto"/>
        <w:bottom w:val="none" w:sz="0" w:space="0" w:color="auto"/>
        <w:right w:val="none" w:sz="0" w:space="0" w:color="auto"/>
      </w:divBdr>
    </w:div>
    <w:div w:id="1612207855">
      <w:bodyDiv w:val="1"/>
      <w:marLeft w:val="0"/>
      <w:marRight w:val="0"/>
      <w:marTop w:val="0"/>
      <w:marBottom w:val="0"/>
      <w:divBdr>
        <w:top w:val="none" w:sz="0" w:space="0" w:color="auto"/>
        <w:left w:val="none" w:sz="0" w:space="0" w:color="auto"/>
        <w:bottom w:val="none" w:sz="0" w:space="0" w:color="auto"/>
        <w:right w:val="none" w:sz="0" w:space="0" w:color="auto"/>
      </w:divBdr>
      <w:divsChild>
        <w:div w:id="1097602866">
          <w:marLeft w:val="0"/>
          <w:marRight w:val="0"/>
          <w:marTop w:val="0"/>
          <w:marBottom w:val="0"/>
          <w:divBdr>
            <w:top w:val="none" w:sz="0" w:space="0" w:color="auto"/>
            <w:left w:val="none" w:sz="0" w:space="0" w:color="auto"/>
            <w:bottom w:val="none" w:sz="0" w:space="0" w:color="auto"/>
            <w:right w:val="none" w:sz="0" w:space="0" w:color="auto"/>
          </w:divBdr>
        </w:div>
        <w:div w:id="1790393511">
          <w:marLeft w:val="0"/>
          <w:marRight w:val="0"/>
          <w:marTop w:val="0"/>
          <w:marBottom w:val="0"/>
          <w:divBdr>
            <w:top w:val="none" w:sz="0" w:space="0" w:color="auto"/>
            <w:left w:val="none" w:sz="0" w:space="0" w:color="auto"/>
            <w:bottom w:val="none" w:sz="0" w:space="0" w:color="auto"/>
            <w:right w:val="none" w:sz="0" w:space="0" w:color="auto"/>
          </w:divBdr>
        </w:div>
        <w:div w:id="1637029489">
          <w:marLeft w:val="0"/>
          <w:marRight w:val="0"/>
          <w:marTop w:val="0"/>
          <w:marBottom w:val="0"/>
          <w:divBdr>
            <w:top w:val="none" w:sz="0" w:space="0" w:color="auto"/>
            <w:left w:val="none" w:sz="0" w:space="0" w:color="auto"/>
            <w:bottom w:val="none" w:sz="0" w:space="0" w:color="auto"/>
            <w:right w:val="none" w:sz="0" w:space="0" w:color="auto"/>
          </w:divBdr>
        </w:div>
        <w:div w:id="2127845545">
          <w:marLeft w:val="0"/>
          <w:marRight w:val="0"/>
          <w:marTop w:val="0"/>
          <w:marBottom w:val="0"/>
          <w:divBdr>
            <w:top w:val="none" w:sz="0" w:space="0" w:color="auto"/>
            <w:left w:val="none" w:sz="0" w:space="0" w:color="auto"/>
            <w:bottom w:val="none" w:sz="0" w:space="0" w:color="auto"/>
            <w:right w:val="none" w:sz="0" w:space="0" w:color="auto"/>
          </w:divBdr>
        </w:div>
        <w:div w:id="1782722564">
          <w:marLeft w:val="0"/>
          <w:marRight w:val="0"/>
          <w:marTop w:val="0"/>
          <w:marBottom w:val="0"/>
          <w:divBdr>
            <w:top w:val="none" w:sz="0" w:space="0" w:color="auto"/>
            <w:left w:val="none" w:sz="0" w:space="0" w:color="auto"/>
            <w:bottom w:val="none" w:sz="0" w:space="0" w:color="auto"/>
            <w:right w:val="none" w:sz="0" w:space="0" w:color="auto"/>
          </w:divBdr>
        </w:div>
        <w:div w:id="565721322">
          <w:marLeft w:val="0"/>
          <w:marRight w:val="0"/>
          <w:marTop w:val="0"/>
          <w:marBottom w:val="0"/>
          <w:divBdr>
            <w:top w:val="none" w:sz="0" w:space="0" w:color="auto"/>
            <w:left w:val="none" w:sz="0" w:space="0" w:color="auto"/>
            <w:bottom w:val="none" w:sz="0" w:space="0" w:color="auto"/>
            <w:right w:val="none" w:sz="0" w:space="0" w:color="auto"/>
          </w:divBdr>
        </w:div>
        <w:div w:id="304090559">
          <w:marLeft w:val="0"/>
          <w:marRight w:val="0"/>
          <w:marTop w:val="0"/>
          <w:marBottom w:val="0"/>
          <w:divBdr>
            <w:top w:val="none" w:sz="0" w:space="0" w:color="auto"/>
            <w:left w:val="none" w:sz="0" w:space="0" w:color="auto"/>
            <w:bottom w:val="none" w:sz="0" w:space="0" w:color="auto"/>
            <w:right w:val="none" w:sz="0" w:space="0" w:color="auto"/>
          </w:divBdr>
        </w:div>
      </w:divsChild>
    </w:div>
    <w:div w:id="1780760816">
      <w:bodyDiv w:val="1"/>
      <w:marLeft w:val="0"/>
      <w:marRight w:val="0"/>
      <w:marTop w:val="0"/>
      <w:marBottom w:val="0"/>
      <w:divBdr>
        <w:top w:val="none" w:sz="0" w:space="0" w:color="auto"/>
        <w:left w:val="none" w:sz="0" w:space="0" w:color="auto"/>
        <w:bottom w:val="none" w:sz="0" w:space="0" w:color="auto"/>
        <w:right w:val="none" w:sz="0" w:space="0" w:color="auto"/>
      </w:divBdr>
      <w:divsChild>
        <w:div w:id="897400510">
          <w:marLeft w:val="0"/>
          <w:marRight w:val="0"/>
          <w:marTop w:val="0"/>
          <w:marBottom w:val="0"/>
          <w:divBdr>
            <w:top w:val="none" w:sz="0" w:space="0" w:color="auto"/>
            <w:left w:val="none" w:sz="0" w:space="0" w:color="auto"/>
            <w:bottom w:val="none" w:sz="0" w:space="0" w:color="auto"/>
            <w:right w:val="none" w:sz="0" w:space="0" w:color="auto"/>
          </w:divBdr>
        </w:div>
        <w:div w:id="540174423">
          <w:marLeft w:val="0"/>
          <w:marRight w:val="0"/>
          <w:marTop w:val="0"/>
          <w:marBottom w:val="0"/>
          <w:divBdr>
            <w:top w:val="none" w:sz="0" w:space="0" w:color="auto"/>
            <w:left w:val="none" w:sz="0" w:space="0" w:color="auto"/>
            <w:bottom w:val="none" w:sz="0" w:space="0" w:color="auto"/>
            <w:right w:val="none" w:sz="0" w:space="0" w:color="auto"/>
          </w:divBdr>
        </w:div>
        <w:div w:id="1811943426">
          <w:marLeft w:val="0"/>
          <w:marRight w:val="0"/>
          <w:marTop w:val="0"/>
          <w:marBottom w:val="0"/>
          <w:divBdr>
            <w:top w:val="none" w:sz="0" w:space="0" w:color="auto"/>
            <w:left w:val="none" w:sz="0" w:space="0" w:color="auto"/>
            <w:bottom w:val="none" w:sz="0" w:space="0" w:color="auto"/>
            <w:right w:val="none" w:sz="0" w:space="0" w:color="auto"/>
          </w:divBdr>
        </w:div>
        <w:div w:id="866603371">
          <w:marLeft w:val="0"/>
          <w:marRight w:val="0"/>
          <w:marTop w:val="0"/>
          <w:marBottom w:val="0"/>
          <w:divBdr>
            <w:top w:val="none" w:sz="0" w:space="0" w:color="auto"/>
            <w:left w:val="none" w:sz="0" w:space="0" w:color="auto"/>
            <w:bottom w:val="none" w:sz="0" w:space="0" w:color="auto"/>
            <w:right w:val="none" w:sz="0" w:space="0" w:color="auto"/>
          </w:divBdr>
        </w:div>
        <w:div w:id="240679987">
          <w:marLeft w:val="0"/>
          <w:marRight w:val="0"/>
          <w:marTop w:val="0"/>
          <w:marBottom w:val="0"/>
          <w:divBdr>
            <w:top w:val="none" w:sz="0" w:space="0" w:color="auto"/>
            <w:left w:val="none" w:sz="0" w:space="0" w:color="auto"/>
            <w:bottom w:val="none" w:sz="0" w:space="0" w:color="auto"/>
            <w:right w:val="none" w:sz="0" w:space="0" w:color="auto"/>
          </w:divBdr>
        </w:div>
      </w:divsChild>
    </w:div>
    <w:div w:id="1846936042">
      <w:bodyDiv w:val="1"/>
      <w:marLeft w:val="0"/>
      <w:marRight w:val="0"/>
      <w:marTop w:val="0"/>
      <w:marBottom w:val="0"/>
      <w:divBdr>
        <w:top w:val="none" w:sz="0" w:space="0" w:color="auto"/>
        <w:left w:val="none" w:sz="0" w:space="0" w:color="auto"/>
        <w:bottom w:val="none" w:sz="0" w:space="0" w:color="auto"/>
        <w:right w:val="none" w:sz="0" w:space="0" w:color="auto"/>
      </w:divBdr>
      <w:divsChild>
        <w:div w:id="478545133">
          <w:marLeft w:val="0"/>
          <w:marRight w:val="0"/>
          <w:marTop w:val="0"/>
          <w:marBottom w:val="0"/>
          <w:divBdr>
            <w:top w:val="none" w:sz="0" w:space="0" w:color="auto"/>
            <w:left w:val="none" w:sz="0" w:space="0" w:color="auto"/>
            <w:bottom w:val="none" w:sz="0" w:space="0" w:color="auto"/>
            <w:right w:val="none" w:sz="0" w:space="0" w:color="auto"/>
          </w:divBdr>
        </w:div>
        <w:div w:id="1933195176">
          <w:marLeft w:val="0"/>
          <w:marRight w:val="0"/>
          <w:marTop w:val="0"/>
          <w:marBottom w:val="0"/>
          <w:divBdr>
            <w:top w:val="none" w:sz="0" w:space="0" w:color="auto"/>
            <w:left w:val="none" w:sz="0" w:space="0" w:color="auto"/>
            <w:bottom w:val="none" w:sz="0" w:space="0" w:color="auto"/>
            <w:right w:val="none" w:sz="0" w:space="0" w:color="auto"/>
          </w:divBdr>
        </w:div>
        <w:div w:id="918099488">
          <w:marLeft w:val="0"/>
          <w:marRight w:val="0"/>
          <w:marTop w:val="0"/>
          <w:marBottom w:val="0"/>
          <w:divBdr>
            <w:top w:val="none" w:sz="0" w:space="0" w:color="auto"/>
            <w:left w:val="none" w:sz="0" w:space="0" w:color="auto"/>
            <w:bottom w:val="none" w:sz="0" w:space="0" w:color="auto"/>
            <w:right w:val="none" w:sz="0" w:space="0" w:color="auto"/>
          </w:divBdr>
        </w:div>
        <w:div w:id="1398361901">
          <w:marLeft w:val="0"/>
          <w:marRight w:val="0"/>
          <w:marTop w:val="0"/>
          <w:marBottom w:val="0"/>
          <w:divBdr>
            <w:top w:val="none" w:sz="0" w:space="0" w:color="auto"/>
            <w:left w:val="none" w:sz="0" w:space="0" w:color="auto"/>
            <w:bottom w:val="none" w:sz="0" w:space="0" w:color="auto"/>
            <w:right w:val="none" w:sz="0" w:space="0" w:color="auto"/>
          </w:divBdr>
        </w:div>
        <w:div w:id="151987048">
          <w:marLeft w:val="0"/>
          <w:marRight w:val="0"/>
          <w:marTop w:val="0"/>
          <w:marBottom w:val="0"/>
          <w:divBdr>
            <w:top w:val="none" w:sz="0" w:space="0" w:color="auto"/>
            <w:left w:val="none" w:sz="0" w:space="0" w:color="auto"/>
            <w:bottom w:val="none" w:sz="0" w:space="0" w:color="auto"/>
            <w:right w:val="none" w:sz="0" w:space="0" w:color="auto"/>
          </w:divBdr>
        </w:div>
      </w:divsChild>
    </w:div>
    <w:div w:id="2060133222">
      <w:bodyDiv w:val="1"/>
      <w:marLeft w:val="0"/>
      <w:marRight w:val="0"/>
      <w:marTop w:val="0"/>
      <w:marBottom w:val="0"/>
      <w:divBdr>
        <w:top w:val="none" w:sz="0" w:space="0" w:color="auto"/>
        <w:left w:val="none" w:sz="0" w:space="0" w:color="auto"/>
        <w:bottom w:val="none" w:sz="0" w:space="0" w:color="auto"/>
        <w:right w:val="none" w:sz="0" w:space="0" w:color="auto"/>
      </w:divBdr>
      <w:divsChild>
        <w:div w:id="65807109">
          <w:marLeft w:val="0"/>
          <w:marRight w:val="0"/>
          <w:marTop w:val="0"/>
          <w:marBottom w:val="0"/>
          <w:divBdr>
            <w:top w:val="none" w:sz="0" w:space="0" w:color="auto"/>
            <w:left w:val="none" w:sz="0" w:space="0" w:color="auto"/>
            <w:bottom w:val="none" w:sz="0" w:space="0" w:color="auto"/>
            <w:right w:val="none" w:sz="0" w:space="0" w:color="auto"/>
          </w:divBdr>
        </w:div>
        <w:div w:id="74712556">
          <w:marLeft w:val="0"/>
          <w:marRight w:val="0"/>
          <w:marTop w:val="0"/>
          <w:marBottom w:val="0"/>
          <w:divBdr>
            <w:top w:val="none" w:sz="0" w:space="0" w:color="auto"/>
            <w:left w:val="none" w:sz="0" w:space="0" w:color="auto"/>
            <w:bottom w:val="none" w:sz="0" w:space="0" w:color="auto"/>
            <w:right w:val="none" w:sz="0" w:space="0" w:color="auto"/>
          </w:divBdr>
        </w:div>
        <w:div w:id="1236696701">
          <w:marLeft w:val="0"/>
          <w:marRight w:val="0"/>
          <w:marTop w:val="0"/>
          <w:marBottom w:val="0"/>
          <w:divBdr>
            <w:top w:val="none" w:sz="0" w:space="0" w:color="auto"/>
            <w:left w:val="none" w:sz="0" w:space="0" w:color="auto"/>
            <w:bottom w:val="none" w:sz="0" w:space="0" w:color="auto"/>
            <w:right w:val="none" w:sz="0" w:space="0" w:color="auto"/>
          </w:divBdr>
        </w:div>
        <w:div w:id="678655955">
          <w:marLeft w:val="0"/>
          <w:marRight w:val="0"/>
          <w:marTop w:val="0"/>
          <w:marBottom w:val="0"/>
          <w:divBdr>
            <w:top w:val="none" w:sz="0" w:space="0" w:color="auto"/>
            <w:left w:val="none" w:sz="0" w:space="0" w:color="auto"/>
            <w:bottom w:val="none" w:sz="0" w:space="0" w:color="auto"/>
            <w:right w:val="none" w:sz="0" w:space="0" w:color="auto"/>
          </w:divBdr>
        </w:div>
      </w:divsChild>
    </w:div>
    <w:div w:id="214546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asccc.org/resolutions/supporting-equal-rights-part-time-facul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idehighered.com/news/2010/06/21/adjuncts-and-retention-rat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ccc.org/content/part-time-issu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sccc.org/sites/default/files/ASCCC.ResolutionsHandbook2021updated.pdf" TargetMode="External"/><Relationship Id="rId14" Type="http://schemas.openxmlformats.org/officeDocument/2006/relationships/hyperlink" Target="https://www.cccco.edu/-/media/CCCCO-Website/College-Finance-and-Facilities/Student-Centered-Funding-Formula/2022/scffmetricdefinitionsupdatedjanuary112022a11y.pdf?la=en&amp;hash=50BC2D4E1AF75DAEA586FC7B5E77B74DCD5E8113"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asccc.org/sites/default/files/publications/Standards-of-Practice_0.pdf" TargetMode="External"/><Relationship Id="rId18" Type="http://schemas.openxmlformats.org/officeDocument/2006/relationships/hyperlink" Target="https://govt.westlaw.com/calregs/Document/I5F4531934C6911EC93A8000D3A7C4BC3?viewType=FullText&amp;originationContext=documenttoc&amp;transitionType=CategoryPageItem&amp;contextData=(sc.Default)" TargetMode="External"/><Relationship Id="rId26" Type="http://schemas.openxmlformats.org/officeDocument/2006/relationships/hyperlink" Target="https://cpfa.org/tenurism/" TargetMode="External"/><Relationship Id="rId39" Type="http://schemas.openxmlformats.org/officeDocument/2006/relationships/hyperlink" Target="https://www.cccco.edu/About-Us/Chancellors-Office/Divisions/Digital-Innovation-and-Infrastructure/fraud-prevention" TargetMode="External"/><Relationship Id="rId21" Type="http://schemas.openxmlformats.org/officeDocument/2006/relationships/hyperlink" Target="https://govt.westlaw.com/calregs/Document/I61F3AFC34C6911EC93A8000D3A7C4BC3?viewType=FullText&amp;originationContext=documenttoc&amp;transitionType=CategoryPageItem&amp;contextData=(sc.Default)" TargetMode="External"/><Relationship Id="rId34" Type="http://schemas.openxmlformats.org/officeDocument/2006/relationships/hyperlink" Target="https://leginfo.legislature.ca.gov/faces/codes_displaySection.xhtml?lawCode=EDC&amp;sectionNum=66010.2" TargetMode="External"/><Relationship Id="rId42" Type="http://schemas.openxmlformats.org/officeDocument/2006/relationships/hyperlink" Target="https://asccc.org/content/how-student-engagement-can-mitigate-enrollment-fraud" TargetMode="External"/><Relationship Id="rId47" Type="http://schemas.openxmlformats.org/officeDocument/2006/relationships/hyperlink" Target="https://ai.universityofcalifornia.edu/tools-and-resources.html" TargetMode="External"/><Relationship Id="rId7" Type="http://schemas.openxmlformats.org/officeDocument/2006/relationships/hyperlink" Target="https://asccc.org/resolutions/aligning-transfer-pathways-california-state-university-and-university-california-systems" TargetMode="External"/><Relationship Id="rId2" Type="http://schemas.openxmlformats.org/officeDocument/2006/relationships/hyperlink" Target="https://legiscan.com/CA/text/AB1111/id/2436122" TargetMode="External"/><Relationship Id="rId16" Type="http://schemas.openxmlformats.org/officeDocument/2006/relationships/hyperlink" Target="https://govt.westlaw.com/calregs/Document/I5F3CA6134C6911EC93A8000D3A7C4BC3?viewType=FullText&amp;originationContext=documenttoc&amp;transitionType=CategoryPageItem&amp;contextData=(sc.Default)&amp;bhcp=1" TargetMode="External"/><Relationship Id="rId29" Type="http://schemas.openxmlformats.org/officeDocument/2006/relationships/hyperlink" Target="https://leginfo.legislature.ca.gov/faces/billNavClient.xhtml?bill_id=202520260AB259" TargetMode="External"/><Relationship Id="rId11" Type="http://schemas.openxmlformats.org/officeDocument/2006/relationships/hyperlink" Target="https://www.cccco.edu/About-Us/Vision-2030" TargetMode="External"/><Relationship Id="rId24" Type="http://schemas.openxmlformats.org/officeDocument/2006/relationships/hyperlink" Target="https://www.faccc.org/assets/docs/FACCCTS/Fall2024/One-TierConcept_CM.pdf" TargetMode="External"/><Relationship Id="rId32" Type="http://schemas.openxmlformats.org/officeDocument/2006/relationships/hyperlink" Target="https://www.gov.ca.gov/wp-content/uploads/2024/12/CA-Master-Plan-Framework-Governors-Office.pdf" TargetMode="External"/><Relationship Id="rId37" Type="http://schemas.openxmlformats.org/officeDocument/2006/relationships/hyperlink" Target="https://nam04.safelinks.protection.outlook.com/?url=https%3A%2F%2Fgovt.westlaw.com%2Fcalregs%2FDocument%2FIF932E7A06B8511EF9BE8B6D550C167ED%3FviewType%3DFullText%26listSource%3DSearch%26originationContext%3DSearch%2BResult%26transitionType%3DSearchItem%26contextData%3D(sc.Search)%26navigationPath%3DSearch%252fv1%252fresults%252fnavigation%252fi0a89bcc900000191e2c5cea5c3a27f34%253fppcid%253df06c39c77c6643e09bfd4b1740503157%2526Nav%253dREGULATION_PUBLICVIEW%2526fragmentIdentifier%253dIF932E7A06B8511EF9BE8B6D550C167ED%2526startIndex%253d1%2526transitionType%253dSearchItem%2526contextData%253d%252528sc.Default%252529%2526originationContext%253dSearch%252520Result%26list%3DREGULATION_PUBLICVIEW%26rank%3D1%26t_T1%3D5%26t_T2%3D58003.1%26t_S1%3DCA%2BADC%2Bs&amp;data=05%7C02%7Cckleinman%40ccsf.edu%7Cd31a59e3e74f417bccee08dd0598fd75%7C5e0f22d68a16417ebf3ad081c98b38d8%7C0%7C0%7C638672876833260835%7CUnknown%7CTWFpbGZsb3d8eyJFbXB0eU1hcGkiOnRydWUsIlYiOiIwLjAuMDAwMCIsIlAiOiJXaW4zMiIsIkFOIjoiTWFpbCIsIldUIjoyfQ%3D%3D%7C0%7C%7C%7C&amp;sdata=FCs9tOdYRCLLJf3N3NlmoFAtKi4BqZ6tI1%2B6yiI0i5s%3D&amp;reserved=0" TargetMode="External"/><Relationship Id="rId40" Type="http://schemas.openxmlformats.org/officeDocument/2006/relationships/hyperlink" Target="https://edsource.org/2024/financial-aid-fraud-is-growing-at-californias-community-colleges/721409" TargetMode="External"/><Relationship Id="rId45" Type="http://schemas.openxmlformats.org/officeDocument/2006/relationships/hyperlink" Target="https://leginfo.legislature.ca.gov/faces/billNavClient.xhtml?bill_id=202320240AB2057" TargetMode="External"/><Relationship Id="rId5" Type="http://schemas.openxmlformats.org/officeDocument/2006/relationships/hyperlink" Target="https://govt.westlaw.com/calregs/Document/I604256434C6911EC93A8000D3A7C4BC3?viewType=FullText&amp;originationContext=documenttoc&amp;transitionType=CategoryPageItem&amp;contextData=(sc.Default)&amp;bhcp=1" TargetMode="External"/><Relationship Id="rId15" Type="http://schemas.openxmlformats.org/officeDocument/2006/relationships/hyperlink" Target="https://leginfo.legislature.ca.gov/faces/codes_displaySection.xhtml?sectionNum=70902.&amp;lawCode=EDC" TargetMode="External"/><Relationship Id="rId23" Type="http://schemas.openxmlformats.org/officeDocument/2006/relationships/hyperlink" Target="https://casetext.com/regulation/california-code-of-regulations.title-5-education.division-6-california-community-colleges.chapter-4-employees.subchapter-3-certificated-positions.article-2-academic-senates.section-53200-definitions" TargetMode="External"/><Relationship Id="rId28" Type="http://schemas.openxmlformats.org/officeDocument/2006/relationships/hyperlink" Target="https://visionresourcecenter.azurewebsites.net/events/" TargetMode="External"/><Relationship Id="rId36" Type="http://schemas.openxmlformats.org/officeDocument/2006/relationships/hyperlink" Target="https://govt.westlaw.com/calregs/Document/I604256434C6911EC93A8000D3A7C4BC3?viewType=FullText&amp;originationContext=documenttoc&amp;transitionType=CategoryPageItem&amp;contextData=(sc.Default)&amp;bhcp=1" TargetMode="External"/><Relationship Id="rId49" Type="http://schemas.openxmlformats.org/officeDocument/2006/relationships/hyperlink" Target="https://www.cccco.edu/About-Us/Vision-2030" TargetMode="External"/><Relationship Id="rId10" Type="http://schemas.openxmlformats.org/officeDocument/2006/relationships/hyperlink" Target="https://transferprograms.calstate.edu/sites/default/files/2024-10/Appendix%20A_Cal-GETC%20Catalog%20Rights%20Chart%202-14-2024.pdf" TargetMode="External"/><Relationship Id="rId19" Type="http://schemas.openxmlformats.org/officeDocument/2006/relationships/hyperlink" Target="https://www.aaup.org/endorsers-1940-statement" TargetMode="External"/><Relationship Id="rId31" Type="http://schemas.openxmlformats.org/officeDocument/2006/relationships/hyperlink" Target="https://www.asccc.org/sites/default/files/Revising%20the%20Student%20Centered%20Funding%20Formula%202.28.19_1.pdf" TargetMode="External"/><Relationship Id="rId44" Type="http://schemas.openxmlformats.org/officeDocument/2006/relationships/hyperlink" Target="https://icas-ca.org/cal-getc/" TargetMode="External"/><Relationship Id="rId4" Type="http://schemas.openxmlformats.org/officeDocument/2006/relationships/hyperlink" Target="https://www.cccco.edu/-/media/CCCCO-Website/docs/memo/Cal-GETC-Administrative-Implementation-Guidance.pdf?la=en&amp;hash=DF2FD3E05C058C35ACF2A7B950B2505C4C5E791D" TargetMode="External"/><Relationship Id="rId9" Type="http://schemas.openxmlformats.org/officeDocument/2006/relationships/hyperlink" Target="https://govt.westlaw.com/calregs/Document/I56AABD734C6911EC93A8000D3A7C4BC3?viewType=FullText&amp;originationContext=documenttoc&amp;transitionType=CategoryPageItem&amp;contextData=(sc.Default)&amp;bhcp=1" TargetMode="External"/><Relationship Id="rId14" Type="http://schemas.openxmlformats.org/officeDocument/2006/relationships/hyperlink" Target="https://www.cccco.edu/-/media/CCCCO-Website/Files/General-Counsel/legal-advisory-24-11-15-california-sanctuary-jurisdiction-a11y.pdf?la=en&amp;hash=6DC0B3352E8341FFF9DB6EEFBF929582CF817039" TargetMode="External"/><Relationship Id="rId22" Type="http://schemas.openxmlformats.org/officeDocument/2006/relationships/hyperlink" Target="https://www.cupahr.org/surveys/research-briefs/representation-and-pay-equity-in-higher-ed-faculty-trends-april-2024/" TargetMode="External"/><Relationship Id="rId27" Type="http://schemas.openxmlformats.org/officeDocument/2006/relationships/hyperlink" Target="https://www.humanrights.com/course/lesson/articles-19-25/read-article-23.html" TargetMode="External"/><Relationship Id="rId30" Type="http://schemas.openxmlformats.org/officeDocument/2006/relationships/hyperlink" Target="https://www.asccc.org/sites/default/files/Revising%20the%20Student%20Centered%20Funding%20Formula%202.28.19_1.pdf" TargetMode="External"/><Relationship Id="rId35" Type="http://schemas.openxmlformats.org/officeDocument/2006/relationships/hyperlink" Target="https://legiscan.com/CA/bill/AB1433/2025" TargetMode="External"/><Relationship Id="rId43" Type="http://schemas.openxmlformats.org/officeDocument/2006/relationships/hyperlink" Target="https://admission.universityofcalifornia.edu/admission-requirements/transfer-requirements/uc-transfer-programs/transfer-pathways/" TargetMode="External"/><Relationship Id="rId48" Type="http://schemas.openxmlformats.org/officeDocument/2006/relationships/hyperlink" Target="https://www.cccco.edu/About-Us/Vision-2030" TargetMode="External"/><Relationship Id="rId8" Type="http://schemas.openxmlformats.org/officeDocument/2006/relationships/hyperlink" Target="https://leginfo.legislature.ca.gov/faces/billNavClient.xhtml?bill_id=202320240AB2057" TargetMode="External"/><Relationship Id="rId3" Type="http://schemas.openxmlformats.org/officeDocument/2006/relationships/hyperlink" Target="https://www.auditor.ca.gov/wp-content/uploads/2024/09/2023-123-Report-WP.pdf" TargetMode="External"/><Relationship Id="rId12" Type="http://schemas.openxmlformats.org/officeDocument/2006/relationships/hyperlink" Target="https://govt.westlaw.com/calregs/Document/I604B7E034C6911EC93A8000D3A7C4BC3?viewType=FullText&amp;originationContext=documenttoc&amp;transitionType=CategoryPageItem&amp;contextData=(sc.Default)&amp;bhcp=1" TargetMode="External"/><Relationship Id="rId17" Type="http://schemas.openxmlformats.org/officeDocument/2006/relationships/hyperlink" Target="https://govt.westlaw.com/calregs/Document/I604256434C6911EC93A8000D3A7C4BC3?viewType=FullText&amp;originationContext=documenttoc&amp;transitionType=CategoryPageItem&amp;contextData=(sc.Default)&amp;bhcp=1" TargetMode="External"/><Relationship Id="rId25" Type="http://schemas.openxmlformats.org/officeDocument/2006/relationships/hyperlink" Target="https://www.cccco.edu/About-Us/Chancellors-Office/Divisions/Information-Security-Technology-Innovation/Research-Analytics-Data/data-snapshot/faculty-staff-demographics" TargetMode="External"/><Relationship Id="rId33" Type="http://schemas.openxmlformats.org/officeDocument/2006/relationships/hyperlink" Target="https://leginfo.legislature.ca.gov/faces/codes_displaySection.xhtml?lawCode=EDC&amp;sectionNum=78213" TargetMode="External"/><Relationship Id="rId38" Type="http://schemas.openxmlformats.org/officeDocument/2006/relationships/hyperlink" Target="https://nam04.safelinks.protection.outlook.com/?url=https%3A%2F%2Fwww.cccco.edu%2F-%2Fmedia%2FCCCCO-Website%2Fdocs%2Fmanuals-guides%2F2024-student-attendance-accounting-manual-5-1-24-a11y.pdf%3Fla%3Den%26hash%3DEF1EEACCF357CA10B570FE9360EAD9BB25F19150&amp;data=05%7C02%7Cckleinman%40ccsf.edu%7Cd31a59e3e74f417bccee08dd0598fd75%7C5e0f22d68a16417ebf3ad081c98b38d8%7C0%7C0%7C638672876833275159%7CUnknown%7CTWFpbGZsb3d8eyJFbXB0eU1hcGkiOnRydWUsIlYiOiIwLjAuMDAwMCIsIlAiOiJXaW4zMiIsIkFOIjoiTWFpbCIsIldUIjoyfQ%3D%3D%7C0%7C%7C%7C&amp;sdata=JjouJEuna1bEoO34HlPvoCCm%2BBXlUzZhRBLwHb7EuEk%3D&amp;reserved=0" TargetMode="External"/><Relationship Id="rId46" Type="http://schemas.openxmlformats.org/officeDocument/2006/relationships/hyperlink" Target="https://www.latimes.com/california/story/2025-02-04/california-state-university-unveils-massive-ai-venture" TargetMode="External"/><Relationship Id="rId20" Type="http://schemas.openxmlformats.org/officeDocument/2006/relationships/hyperlink" Target="https://govt.westlaw.com/calregs/Document/IECE98DC0507C11EE80669BF4F3976CB1?viewType=FullText&amp;originationContext=documenttoc&amp;transitionType=CategoryPageItem&amp;contextData=(sc.Default)&amp;bhcp=1" TargetMode="External"/><Relationship Id="rId41" Type="http://schemas.openxmlformats.org/officeDocument/2006/relationships/hyperlink" Target="https://calmatters.org/education/higher-education/2024/04/financial-aid-fraud/" TargetMode="External"/><Relationship Id="rId1" Type="http://schemas.openxmlformats.org/officeDocument/2006/relationships/hyperlink" Target="https://www.kqed.org/news/11956322/california-community-college-students-face-tough-barriers-when-transferring" TargetMode="External"/><Relationship Id="rId6" Type="http://schemas.openxmlformats.org/officeDocument/2006/relationships/hyperlink" Target="https://govt.westlaw.com/calregs/Document/I629435824C6911EC93A8000D3A7C4BC3?viewType=FullText&amp;originationContext=documenttoc&amp;transitionType=CategoryPageItem&amp;contextData=(sc.Default)&amp;bhc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0906F-E263-4CCC-B7E9-98F30D71A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13060</Words>
  <Characters>74443</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Reese</dc:creator>
  <cp:keywords/>
  <dc:description/>
  <cp:lastModifiedBy>Krystinne Mica</cp:lastModifiedBy>
  <cp:revision>4</cp:revision>
  <cp:lastPrinted>2024-04-20T03:42:00Z</cp:lastPrinted>
  <dcterms:created xsi:type="dcterms:W3CDTF">2025-05-02T21:48:00Z</dcterms:created>
  <dcterms:modified xsi:type="dcterms:W3CDTF">2025-05-02T21:55:00Z</dcterms:modified>
</cp:coreProperties>
</file>