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34"/>
          <w:szCs w:val="34"/>
        </w:rPr>
      </w:pPr>
      <w:r w:rsidDel="00000000" w:rsidR="00000000" w:rsidRPr="00000000">
        <w:rPr>
          <w:sz w:val="34"/>
          <w:szCs w:val="34"/>
          <w:rtl w:val="0"/>
        </w:rPr>
        <w:t xml:space="preserve">MOU</w:t>
      </w:r>
    </w:p>
    <w:p w:rsidR="00000000" w:rsidDel="00000000" w:rsidP="00000000" w:rsidRDefault="00000000" w:rsidRPr="00000000" w14:paraId="0000000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Written statement for the Senate meeting (10/20/25)</w:t>
      </w:r>
    </w:p>
    <w:p w:rsidR="00000000" w:rsidDel="00000000" w:rsidP="00000000" w:rsidRDefault="00000000" w:rsidRPr="00000000" w14:paraId="00000003">
      <w:pPr>
        <w:shd w:fill="ffffff" w:val="clea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would like to express concern regarding the recent intent to execute a Memorandum of Understanding (MOU) with National University by the District Office without prior consultation with faculty. This action is a direct violation of the faculty’s rights under Title 5, commonly referred to as the “10+1,” which mandates collegial consultation on academic and professional matters.</w:t>
      </w:r>
    </w:p>
    <w:p w:rsidR="00000000" w:rsidDel="00000000" w:rsidP="00000000" w:rsidRDefault="00000000" w:rsidRPr="00000000" w14:paraId="00000004">
      <w:pPr>
        <w:shd w:fill="ffffff" w:val="clea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 outlined in our shared governance agreements, decisions that affect areas such as curriculum, student success, and educational program development require </w:t>
      </w:r>
      <w:r w:rsidDel="00000000" w:rsidR="00000000" w:rsidRPr="00000000">
        <w:rPr>
          <w:rFonts w:ascii="Calibri" w:cs="Calibri" w:eastAsia="Calibri" w:hAnsi="Calibri"/>
          <w:b w:val="1"/>
          <w:sz w:val="28"/>
          <w:szCs w:val="28"/>
          <w:rtl w:val="0"/>
        </w:rPr>
        <w:t xml:space="preserve">meaningful</w:t>
      </w:r>
      <w:r w:rsidDel="00000000" w:rsidR="00000000" w:rsidRPr="00000000">
        <w:rPr>
          <w:rFonts w:ascii="Calibri" w:cs="Calibri" w:eastAsia="Calibri" w:hAnsi="Calibri"/>
          <w:sz w:val="28"/>
          <w:szCs w:val="28"/>
          <w:rtl w:val="0"/>
        </w:rPr>
        <w:t xml:space="preserve"> faculty input. Entering into an MOU without first engaging in that process undermines both the spirit and the structure of our established participatory governance.</w:t>
      </w:r>
    </w:p>
    <w:p w:rsidR="00000000" w:rsidDel="00000000" w:rsidP="00000000" w:rsidRDefault="00000000" w:rsidRPr="00000000" w14:paraId="00000005">
      <w:pPr>
        <w:shd w:fill="ffffff" w:val="clea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this particular case, the MOU does not appear to provide any benefits that are not already accessible to students through existing services and processes. Given that, there is no urgency that justifies bypassing faculty consultation.</w:t>
      </w:r>
    </w:p>
    <w:p w:rsidR="00000000" w:rsidDel="00000000" w:rsidP="00000000" w:rsidRDefault="00000000" w:rsidRPr="00000000" w14:paraId="00000006">
      <w:pPr>
        <w:shd w:fill="ffffff" w:val="clea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strongly recommend that the District pause any implementation of the MOU and work collaboratively with faculty leadership to develop clear policies and procedures prior to moving forward. Taking the time to follow the proper process will not only ensure compliance with shared governance but also build trust and improve the overall effectiveness of the initiative.</w:t>
      </w:r>
    </w:p>
    <w:p w:rsidR="00000000" w:rsidDel="00000000" w:rsidP="00000000" w:rsidRDefault="00000000" w:rsidRPr="00000000" w14:paraId="00000007">
      <w:pPr>
        <w:shd w:fill="ffffff" w:val="clea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At this time, we do not support the approval of this agenda item. We look forward to engaging in this work together in a collegial and constructive manner.</w:t>
      </w:r>
    </w:p>
    <w:p w:rsidR="00000000" w:rsidDel="00000000" w:rsidP="00000000" w:rsidRDefault="00000000" w:rsidRPr="00000000" w14:paraId="00000008">
      <w:pPr>
        <w:shd w:fill="ffffff" w:val="clea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Sarah Moore, Transfer Center Director and Dee Aceves, Articulation Officer</w:t>
      </w:r>
    </w:p>
    <w:p w:rsidR="00000000" w:rsidDel="00000000" w:rsidP="00000000" w:rsidRDefault="00000000" w:rsidRPr="00000000" w14:paraId="00000009">
      <w:pPr>
        <w:spacing w:after="240" w:before="240" w:lineRule="auto"/>
        <w:rPr>
          <w:sz w:val="38"/>
          <w:szCs w:val="38"/>
        </w:rPr>
      </w:pPr>
      <w:r w:rsidDel="00000000" w:rsidR="00000000" w:rsidRPr="00000000">
        <w:rPr>
          <w:rtl w:val="0"/>
        </w:rPr>
      </w:r>
    </w:p>
    <w:p w:rsidR="00000000" w:rsidDel="00000000" w:rsidP="00000000" w:rsidRDefault="00000000" w:rsidRPr="00000000" w14:paraId="0000000A">
      <w:pPr>
        <w:spacing w:after="240" w:before="240" w:lineRule="auto"/>
        <w:rPr>
          <w:sz w:val="34"/>
          <w:szCs w:val="34"/>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