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Recommendation revisions: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38761d"/>
        </w:rPr>
      </w:pPr>
      <w:r w:rsidDel="00000000" w:rsidR="00000000" w:rsidRPr="00000000">
        <w:rPr>
          <w:rtl w:val="0"/>
        </w:rPr>
        <w:t xml:space="preserve">The Grossmont-Cuyamaca Community College District (District) Chancellor, in consultation with </w:t>
      </w:r>
      <w:r w:rsidDel="00000000" w:rsidR="00000000" w:rsidRPr="00000000">
        <w:rPr>
          <w:b w:val="1"/>
          <w:color w:val="38761d"/>
          <w:rtl w:val="0"/>
        </w:rPr>
        <w:t xml:space="preserve">the Academic Senate shall establish procedures that ensure students will be placed in precollegiate basic skills coursework only if they are highly unlikely to succeed in the transfer-level coursework and enrollment in the pre-transfer course will improve students’ likelihood of success in completing the transfer-level course.</w:t>
      </w:r>
    </w:p>
    <w:p w:rsidR="00000000" w:rsidDel="00000000" w:rsidP="00000000" w:rsidRDefault="00000000" w:rsidRPr="00000000" w14:paraId="00000004">
      <w:pPr>
        <w:rPr>
          <w:b w:val="1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4OTkb2UcNhUq61b8UvifODumBA==">CgMxLjA4AHIhMWNwX1hFX0M3cFo0U1RBVkhkUGJ5bENSZVV1U1VrWUNQ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