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58.0" w:type="dxa"/>
        <w:jc w:val="left"/>
        <w:tblInd w:w="-10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8213"/>
        <w:tblGridChange w:id="0">
          <w:tblGrid>
            <w:gridCol w:w="2745"/>
            <w:gridCol w:w="8213"/>
          </w:tblGrid>
        </w:tblGridChange>
      </w:tblGrid>
      <w:tr>
        <w:trPr>
          <w:cantSplit w:val="0"/>
          <w:trHeight w:val="11853" w:hRule="atLeast"/>
          <w:tblHeader w:val="0"/>
        </w:trPr>
        <w:tc>
          <w:tcPr>
            <w:tcBorders>
              <w:top w:color="000000" w:space="0" w:sz="0" w:val="nil"/>
              <w:left w:color="000000" w:space="0" w:sz="0" w:val="nil"/>
              <w:bottom w:color="000000" w:space="0" w:sz="0" w:val="nil"/>
              <w:right w:color="000000" w:space="0" w:sz="0" w:val="nil"/>
            </w:tcBorders>
            <w:shd w:fill="f0eee4" w:val="clear"/>
          </w:tcPr>
          <w:p w:rsidR="00000000" w:rsidDel="00000000" w:rsidP="00000000" w:rsidRDefault="00000000" w:rsidRPr="00000000" w14:paraId="00000002">
            <w:pPr>
              <w:spacing w:after="160" w:line="276" w:lineRule="auto"/>
              <w:jc w:val="center"/>
              <w:rPr>
                <w:b w:val="1"/>
                <w:i w:val="1"/>
                <w:color w:val="38761d"/>
                <w:sz w:val="20"/>
                <w:szCs w:val="20"/>
              </w:rPr>
            </w:pPr>
            <w:r w:rsidDel="00000000" w:rsidR="00000000" w:rsidRPr="00000000">
              <w:rPr>
                <w:b w:val="1"/>
                <w:i w:val="1"/>
                <w:color w:val="38761d"/>
                <w:sz w:val="20"/>
                <w:szCs w:val="20"/>
              </w:rPr>
              <w:drawing>
                <wp:inline distB="114300" distT="114300" distL="114300" distR="114300">
                  <wp:extent cx="1609725" cy="2146300"/>
                  <wp:effectExtent b="0" l="0" r="0" t="0"/>
                  <wp:docPr descr="Grossmont College Academic Senate, 10+1 which illustrates the senates academic and professional matters." id="2"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6"/>
                          <a:srcRect b="0" l="0" r="0" t="0"/>
                          <a:stretch>
                            <a:fillRect/>
                          </a:stretch>
                        </pic:blipFill>
                        <pic:spPr>
                          <a:xfrm>
                            <a:off x="0" y="0"/>
                            <a:ext cx="1609725"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i w:val="1"/>
                <w:color w:val="38761d"/>
                <w:sz w:val="20"/>
                <w:szCs w:val="20"/>
              </w:rPr>
            </w:pPr>
            <w:r w:rsidDel="00000000" w:rsidR="00000000" w:rsidRPr="00000000">
              <w:rPr>
                <w:b w:val="1"/>
                <w:i w:val="1"/>
                <w:color w:val="38761d"/>
                <w:sz w:val="20"/>
                <w:szCs w:val="20"/>
                <w:rtl w:val="0"/>
              </w:rPr>
              <w:t xml:space="preserve">10 + 1</w:t>
            </w:r>
          </w:p>
          <w:p w:rsidR="00000000" w:rsidDel="00000000" w:rsidP="00000000" w:rsidRDefault="00000000" w:rsidRPr="00000000" w14:paraId="00000004">
            <w:pPr>
              <w:rPr>
                <w:i w:val="1"/>
                <w:color w:val="38761d"/>
                <w:sz w:val="18"/>
                <w:szCs w:val="18"/>
              </w:rPr>
            </w:pPr>
            <w:r w:rsidDel="00000000" w:rsidR="00000000" w:rsidRPr="00000000">
              <w:rPr>
                <w:b w:val="1"/>
                <w:color w:val="38761d"/>
                <w:sz w:val="18"/>
                <w:szCs w:val="18"/>
                <w:rtl w:val="0"/>
              </w:rPr>
              <w:t xml:space="preserve">Title 5 §53200(b):</w:t>
            </w:r>
            <w:r w:rsidDel="00000000" w:rsidR="00000000" w:rsidRPr="00000000">
              <w:rPr>
                <w:sz w:val="18"/>
                <w:szCs w:val="18"/>
                <w:rtl w:val="0"/>
              </w:rPr>
              <w:t xml:space="preserve"> Academic Senate means an organization whose primary function is to make recommendations with respect to academic and professional matters. In </w:t>
            </w:r>
            <w:r w:rsidDel="00000000" w:rsidR="00000000" w:rsidRPr="00000000">
              <w:rPr>
                <w:b w:val="1"/>
                <w:color w:val="38761d"/>
                <w:sz w:val="18"/>
                <w:szCs w:val="18"/>
                <w:rtl w:val="0"/>
              </w:rPr>
              <w:t xml:space="preserve">Sections 53200(c),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160" w:line="276" w:lineRule="auto"/>
              <w:rPr>
                <w:sz w:val="18"/>
                <w:szCs w:val="18"/>
              </w:rPr>
            </w:pPr>
            <w:r w:rsidDel="00000000" w:rsidR="00000000" w:rsidRPr="00000000">
              <w:rPr>
                <w:sz w:val="18"/>
                <w:szCs w:val="18"/>
                <w:rtl w:val="0"/>
              </w:rPr>
              <w:t xml:space="preserve">"Academic and professional matters" means the following policy development and implementation matters:</w:t>
            </w:r>
          </w:p>
          <w:p w:rsidR="00000000" w:rsidDel="00000000" w:rsidP="00000000" w:rsidRDefault="00000000" w:rsidRPr="00000000" w14:paraId="00000006">
            <w:pPr>
              <w:spacing w:after="160" w:line="276" w:lineRule="auto"/>
              <w:rPr>
                <w:i w:val="1"/>
                <w:sz w:val="18"/>
                <w:szCs w:val="18"/>
              </w:rPr>
            </w:pPr>
            <w:r w:rsidDel="00000000" w:rsidR="00000000" w:rsidRPr="00000000">
              <w:rPr>
                <w:i w:val="1"/>
                <w:sz w:val="18"/>
                <w:szCs w:val="18"/>
                <w:rtl w:val="0"/>
              </w:rPr>
              <w:t xml:space="preserve"> (1) curriculum, including establishing prerequisites and placing courses within disciplines;</w:t>
            </w:r>
          </w:p>
          <w:p w:rsidR="00000000" w:rsidDel="00000000" w:rsidP="00000000" w:rsidRDefault="00000000" w:rsidRPr="00000000" w14:paraId="00000007">
            <w:pPr>
              <w:spacing w:after="160" w:line="276" w:lineRule="auto"/>
              <w:rPr>
                <w:i w:val="1"/>
                <w:sz w:val="18"/>
                <w:szCs w:val="18"/>
              </w:rPr>
            </w:pPr>
            <w:r w:rsidDel="00000000" w:rsidR="00000000" w:rsidRPr="00000000">
              <w:rPr>
                <w:i w:val="1"/>
                <w:sz w:val="18"/>
                <w:szCs w:val="18"/>
                <w:rtl w:val="0"/>
              </w:rPr>
              <w:t xml:space="preserve"> (2) degree and certificate requirements;</w:t>
            </w:r>
          </w:p>
          <w:p w:rsidR="00000000" w:rsidDel="00000000" w:rsidP="00000000" w:rsidRDefault="00000000" w:rsidRPr="00000000" w14:paraId="00000008">
            <w:pPr>
              <w:spacing w:after="160" w:line="276" w:lineRule="auto"/>
              <w:rPr>
                <w:i w:val="1"/>
                <w:sz w:val="18"/>
                <w:szCs w:val="18"/>
              </w:rPr>
            </w:pPr>
            <w:r w:rsidDel="00000000" w:rsidR="00000000" w:rsidRPr="00000000">
              <w:rPr>
                <w:i w:val="1"/>
                <w:sz w:val="18"/>
                <w:szCs w:val="18"/>
                <w:rtl w:val="0"/>
              </w:rPr>
              <w:t xml:space="preserve"> (3) grading policies;</w:t>
            </w:r>
          </w:p>
          <w:p w:rsidR="00000000" w:rsidDel="00000000" w:rsidP="00000000" w:rsidRDefault="00000000" w:rsidRPr="00000000" w14:paraId="00000009">
            <w:pPr>
              <w:spacing w:after="160" w:line="276" w:lineRule="auto"/>
              <w:rPr>
                <w:i w:val="1"/>
                <w:sz w:val="18"/>
                <w:szCs w:val="18"/>
              </w:rPr>
            </w:pPr>
            <w:r w:rsidDel="00000000" w:rsidR="00000000" w:rsidRPr="00000000">
              <w:rPr>
                <w:i w:val="1"/>
                <w:sz w:val="18"/>
                <w:szCs w:val="18"/>
                <w:rtl w:val="0"/>
              </w:rPr>
              <w:t xml:space="preserve"> (4) educational program development;</w:t>
            </w:r>
          </w:p>
          <w:p w:rsidR="00000000" w:rsidDel="00000000" w:rsidP="00000000" w:rsidRDefault="00000000" w:rsidRPr="00000000" w14:paraId="0000000A">
            <w:pPr>
              <w:spacing w:after="160" w:line="276" w:lineRule="auto"/>
              <w:rPr>
                <w:i w:val="1"/>
                <w:sz w:val="18"/>
                <w:szCs w:val="18"/>
              </w:rPr>
            </w:pPr>
            <w:r w:rsidDel="00000000" w:rsidR="00000000" w:rsidRPr="00000000">
              <w:rPr>
                <w:i w:val="1"/>
                <w:sz w:val="18"/>
                <w:szCs w:val="18"/>
                <w:rtl w:val="0"/>
              </w:rPr>
              <w:t xml:space="preserve"> (5) standards or policies regarding student preparation and success;</w:t>
            </w:r>
          </w:p>
          <w:p w:rsidR="00000000" w:rsidDel="00000000" w:rsidP="00000000" w:rsidRDefault="00000000" w:rsidRPr="00000000" w14:paraId="0000000B">
            <w:pPr>
              <w:spacing w:after="160" w:line="276" w:lineRule="auto"/>
              <w:rPr>
                <w:i w:val="1"/>
                <w:sz w:val="18"/>
                <w:szCs w:val="18"/>
              </w:rPr>
            </w:pPr>
            <w:r w:rsidDel="00000000" w:rsidR="00000000" w:rsidRPr="00000000">
              <w:rPr>
                <w:i w:val="1"/>
                <w:sz w:val="18"/>
                <w:szCs w:val="18"/>
                <w:rtl w:val="0"/>
              </w:rPr>
              <w:t xml:space="preserve"> (6) district and college governance structures, as related to faculty roles;</w:t>
            </w:r>
          </w:p>
          <w:p w:rsidR="00000000" w:rsidDel="00000000" w:rsidP="00000000" w:rsidRDefault="00000000" w:rsidRPr="00000000" w14:paraId="0000000C">
            <w:pPr>
              <w:spacing w:after="160" w:line="276" w:lineRule="auto"/>
              <w:rPr>
                <w:i w:val="1"/>
                <w:sz w:val="18"/>
                <w:szCs w:val="18"/>
              </w:rPr>
            </w:pPr>
            <w:r w:rsidDel="00000000" w:rsidR="00000000" w:rsidRPr="00000000">
              <w:rPr>
                <w:i w:val="1"/>
                <w:sz w:val="18"/>
                <w:szCs w:val="18"/>
                <w:rtl w:val="0"/>
              </w:rPr>
              <w:t xml:space="preserve"> (7) faculty roles and involvement in accreditation processes, including self-study and annual reports;</w:t>
            </w:r>
          </w:p>
          <w:p w:rsidR="00000000" w:rsidDel="00000000" w:rsidP="00000000" w:rsidRDefault="00000000" w:rsidRPr="00000000" w14:paraId="0000000D">
            <w:pPr>
              <w:spacing w:after="160" w:line="276" w:lineRule="auto"/>
              <w:rPr>
                <w:i w:val="1"/>
                <w:sz w:val="18"/>
                <w:szCs w:val="18"/>
              </w:rPr>
            </w:pPr>
            <w:r w:rsidDel="00000000" w:rsidR="00000000" w:rsidRPr="00000000">
              <w:rPr>
                <w:i w:val="1"/>
                <w:sz w:val="18"/>
                <w:szCs w:val="18"/>
                <w:rtl w:val="0"/>
              </w:rPr>
              <w:t xml:space="preserve"> (8) policies for faculty professional development activities;</w:t>
            </w:r>
          </w:p>
          <w:p w:rsidR="00000000" w:rsidDel="00000000" w:rsidP="00000000" w:rsidRDefault="00000000" w:rsidRPr="00000000" w14:paraId="0000000E">
            <w:pPr>
              <w:spacing w:after="160" w:line="276" w:lineRule="auto"/>
              <w:rPr>
                <w:i w:val="1"/>
                <w:sz w:val="18"/>
                <w:szCs w:val="18"/>
              </w:rPr>
            </w:pPr>
            <w:r w:rsidDel="00000000" w:rsidR="00000000" w:rsidRPr="00000000">
              <w:rPr>
                <w:i w:val="1"/>
                <w:sz w:val="18"/>
                <w:szCs w:val="18"/>
                <w:rtl w:val="0"/>
              </w:rPr>
              <w:t xml:space="preserve"> (9) processes for program review;</w:t>
            </w:r>
          </w:p>
          <w:p w:rsidR="00000000" w:rsidDel="00000000" w:rsidP="00000000" w:rsidRDefault="00000000" w:rsidRPr="00000000" w14:paraId="0000000F">
            <w:pPr>
              <w:spacing w:after="160" w:line="276" w:lineRule="auto"/>
              <w:rPr>
                <w:i w:val="1"/>
                <w:sz w:val="18"/>
                <w:szCs w:val="18"/>
              </w:rPr>
            </w:pPr>
            <w:r w:rsidDel="00000000" w:rsidR="00000000" w:rsidRPr="00000000">
              <w:rPr>
                <w:i w:val="1"/>
                <w:sz w:val="18"/>
                <w:szCs w:val="18"/>
                <w:rtl w:val="0"/>
              </w:rPr>
              <w:t xml:space="preserve"> (10) processes for institutional planning and budget development; and</w:t>
            </w:r>
          </w:p>
          <w:p w:rsidR="00000000" w:rsidDel="00000000" w:rsidP="00000000" w:rsidRDefault="00000000" w:rsidRPr="00000000" w14:paraId="00000010">
            <w:pPr>
              <w:spacing w:after="160" w:line="276" w:lineRule="auto"/>
              <w:rPr>
                <w:i w:val="1"/>
                <w:sz w:val="18"/>
                <w:szCs w:val="18"/>
              </w:rPr>
            </w:pPr>
            <w:r w:rsidDel="00000000" w:rsidR="00000000" w:rsidRPr="00000000">
              <w:rPr>
                <w:i w:val="1"/>
                <w:sz w:val="18"/>
                <w:szCs w:val="18"/>
                <w:rtl w:val="0"/>
              </w:rPr>
              <w:t xml:space="preserve"> (11) other academic and professional matters as are mutually agreed upon between the governing board and the academic senate</w:t>
            </w:r>
          </w:p>
          <w:p w:rsidR="00000000" w:rsidDel="00000000" w:rsidP="00000000" w:rsidRDefault="00000000" w:rsidRPr="00000000" w14:paraId="00000011">
            <w:pPr>
              <w:spacing w:after="160" w:lineRule="auto"/>
              <w:rPr>
                <w:i w:val="1"/>
                <w:sz w:val="18"/>
                <w:szCs w:val="18"/>
              </w:rPr>
            </w:pPr>
            <w:r w:rsidDel="00000000" w:rsidR="00000000" w:rsidRPr="00000000">
              <w:rPr>
                <w:i w:val="1"/>
                <w:sz w:val="18"/>
                <w:szCs w:val="18"/>
                <w:rtl w:val="0"/>
              </w:rPr>
              <w:t xml:space="preserve">District/College is to “rely primarily upon the advice and judgment”</w:t>
              <w:br w:type="textWrapping"/>
              <w:t xml:space="preserve">(5 CCR 53200(d)) Of the A.S. in the following areas:</w:t>
            </w:r>
          </w:p>
          <w:p w:rsidR="00000000" w:rsidDel="00000000" w:rsidP="00000000" w:rsidRDefault="00000000" w:rsidRPr="00000000" w14:paraId="00000012">
            <w:pPr>
              <w:spacing w:after="160" w:line="276" w:lineRule="auto"/>
              <w:jc w:val="center"/>
              <w:rPr>
                <w:b w:val="1"/>
                <w:i w:val="1"/>
                <w:color w:val="38761d"/>
                <w:sz w:val="18"/>
                <w:szCs w:val="18"/>
              </w:rPr>
            </w:pPr>
            <w:r w:rsidDel="00000000" w:rsidR="00000000" w:rsidRPr="00000000">
              <w:rPr>
                <w:rtl w:val="0"/>
              </w:rPr>
            </w:r>
          </w:p>
          <w:p w:rsidR="00000000" w:rsidDel="00000000" w:rsidP="00000000" w:rsidRDefault="00000000" w:rsidRPr="00000000" w14:paraId="00000013">
            <w:pPr>
              <w:spacing w:after="160" w:line="276" w:lineRule="auto"/>
              <w:jc w:val="center"/>
              <w:rPr>
                <w:b w:val="1"/>
                <w:i w:val="1"/>
                <w:color w:val="38761d"/>
                <w:sz w:val="18"/>
                <w:szCs w:val="18"/>
              </w:rPr>
            </w:pPr>
            <w:r w:rsidDel="00000000" w:rsidR="00000000" w:rsidRPr="00000000">
              <w:rPr>
                <w:b w:val="1"/>
                <w:i w:val="1"/>
                <w:color w:val="38761d"/>
                <w:sz w:val="18"/>
                <w:szCs w:val="18"/>
                <w:rtl w:val="0"/>
              </w:rPr>
              <w:t xml:space="preserve">COLLEGE MISSION STATEMENT</w:t>
            </w:r>
          </w:p>
          <w:p w:rsidR="00000000" w:rsidDel="00000000" w:rsidP="00000000" w:rsidRDefault="00000000" w:rsidRPr="00000000" w14:paraId="00000014">
            <w:pPr>
              <w:spacing w:before="300" w:lineRule="auto"/>
              <w:rPr>
                <w:b w:val="1"/>
                <w:color w:val="38761d"/>
                <w:sz w:val="18"/>
                <w:szCs w:val="18"/>
              </w:rPr>
            </w:pPr>
            <w:r w:rsidDel="00000000" w:rsidR="00000000" w:rsidRPr="00000000">
              <w:rPr>
                <w:b w:val="1"/>
                <w:color w:val="38761d"/>
                <w:sz w:val="18"/>
                <w:szCs w:val="18"/>
                <w:rtl w:val="0"/>
              </w:rPr>
              <w:t xml:space="preserve">MISSION</w:t>
            </w:r>
          </w:p>
          <w:p w:rsidR="00000000" w:rsidDel="00000000" w:rsidP="00000000" w:rsidRDefault="00000000" w:rsidRPr="00000000" w14:paraId="00000015">
            <w:pPr>
              <w:rPr>
                <w:sz w:val="16"/>
                <w:szCs w:val="16"/>
              </w:rPr>
            </w:pPr>
            <w:r w:rsidDel="00000000" w:rsidR="00000000" w:rsidRPr="00000000">
              <w:rPr>
                <w:sz w:val="16"/>
                <w:szCs w:val="16"/>
                <w:rtl w:val="0"/>
              </w:rPr>
              <w:t xml:space="preserve">Grossmont College serves the diverse population of our surrounding community and beyond by creating clear and accessible pathways to degrees and careers that lead to social and economic mobility for our students. We work collaboratively to cultivate an equitable student-centered learning environment, and we hold ourselves accountable for improving student outcomes through ongoing assessment, evaluation, and data-informed decision-making. Grossmont.</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color w:val="38761d"/>
                <w:sz w:val="16"/>
                <w:szCs w:val="16"/>
              </w:rPr>
            </w:pPr>
            <w:r w:rsidDel="00000000" w:rsidR="00000000" w:rsidRPr="00000000">
              <w:rPr>
                <w:b w:val="1"/>
                <w:color w:val="38761d"/>
                <w:sz w:val="16"/>
                <w:szCs w:val="16"/>
                <w:rtl w:val="0"/>
              </w:rPr>
              <w:t xml:space="preserve">PROCESSES FOR</w:t>
            </w:r>
          </w:p>
          <w:p w:rsidR="00000000" w:rsidDel="00000000" w:rsidP="00000000" w:rsidRDefault="00000000" w:rsidRPr="00000000" w14:paraId="00000018">
            <w:pPr>
              <w:rPr>
                <w:b w:val="1"/>
                <w:color w:val="38761d"/>
                <w:sz w:val="16"/>
                <w:szCs w:val="16"/>
              </w:rPr>
            </w:pPr>
            <w:r w:rsidDel="00000000" w:rsidR="00000000" w:rsidRPr="00000000">
              <w:rPr>
                <w:b w:val="1"/>
                <w:color w:val="38761d"/>
                <w:sz w:val="16"/>
                <w:szCs w:val="16"/>
                <w:rtl w:val="0"/>
              </w:rPr>
              <w:t xml:space="preserve">COLLEGIAL CONSULTATION</w:t>
            </w:r>
          </w:p>
          <w:p w:rsidR="00000000" w:rsidDel="00000000" w:rsidP="00000000" w:rsidRDefault="00000000" w:rsidRPr="00000000" w14:paraId="00000019">
            <w:pPr>
              <w:rPr>
                <w:sz w:val="16"/>
                <w:szCs w:val="16"/>
              </w:rPr>
            </w:pPr>
            <w:r w:rsidDel="00000000" w:rsidR="00000000" w:rsidRPr="00000000">
              <w:rPr>
                <w:sz w:val="16"/>
                <w:szCs w:val="16"/>
                <w:rtl w:val="0"/>
              </w:rPr>
              <w:t xml:space="preserve">(5 CCR 53200(d) &amp; GCCCD AP 2510)</w:t>
            </w:r>
          </w:p>
          <w:p w:rsidR="00000000" w:rsidDel="00000000" w:rsidP="00000000" w:rsidRDefault="00000000" w:rsidRPr="00000000" w14:paraId="0000001A">
            <w:pPr>
              <w:rPr>
                <w:i w:val="1"/>
                <w:sz w:val="16"/>
                <w:szCs w:val="16"/>
              </w:rPr>
            </w:pPr>
            <w:r w:rsidDel="00000000" w:rsidR="00000000" w:rsidRPr="00000000">
              <w:rPr>
                <w:i w:val="1"/>
                <w:sz w:val="16"/>
                <w:szCs w:val="16"/>
                <w:rtl w:val="0"/>
              </w:rPr>
              <w:t xml:space="preserve">*The Board will Rely Primarily Upon</w:t>
            </w:r>
          </w:p>
          <w:p w:rsidR="00000000" w:rsidDel="00000000" w:rsidP="00000000" w:rsidRDefault="00000000" w:rsidRPr="00000000" w14:paraId="0000001B">
            <w:pPr>
              <w:rPr>
                <w:i w:val="1"/>
                <w:sz w:val="16"/>
                <w:szCs w:val="16"/>
              </w:rPr>
            </w:pPr>
            <w:r w:rsidDel="00000000" w:rsidR="00000000" w:rsidRPr="00000000">
              <w:rPr>
                <w:i w:val="1"/>
                <w:sz w:val="16"/>
                <w:szCs w:val="16"/>
                <w:rtl w:val="0"/>
              </w:rPr>
              <w:t xml:space="preserve">the Academic Senate</w:t>
            </w:r>
          </w:p>
          <w:p w:rsidR="00000000" w:rsidDel="00000000" w:rsidP="00000000" w:rsidRDefault="00000000" w:rsidRPr="00000000" w14:paraId="0000001C">
            <w:pPr>
              <w:rPr>
                <w:i w:val="1"/>
                <w:sz w:val="16"/>
                <w:szCs w:val="16"/>
              </w:rPr>
            </w:pPr>
            <w:r w:rsidDel="00000000" w:rsidR="00000000" w:rsidRPr="00000000">
              <w:rPr>
                <w:rtl w:val="0"/>
              </w:rPr>
            </w:r>
          </w:p>
          <w:p w:rsidR="00000000" w:rsidDel="00000000" w:rsidP="00000000" w:rsidRDefault="00000000" w:rsidRPr="00000000" w14:paraId="0000001D">
            <w:pPr>
              <w:rPr>
                <w:i w:val="1"/>
                <w:sz w:val="16"/>
                <w:szCs w:val="16"/>
              </w:rPr>
            </w:pPr>
            <w:r w:rsidDel="00000000" w:rsidR="00000000" w:rsidRPr="00000000">
              <w:rPr>
                <w:rtl w:val="0"/>
              </w:rPr>
            </w:r>
          </w:p>
          <w:p w:rsidR="00000000" w:rsidDel="00000000" w:rsidP="00000000" w:rsidRDefault="00000000" w:rsidRPr="00000000" w14:paraId="0000001E">
            <w:pPr>
              <w:rPr>
                <w:i w:val="1"/>
                <w:sz w:val="16"/>
                <w:szCs w:val="16"/>
              </w:rPr>
            </w:pPr>
            <w:r w:rsidDel="00000000" w:rsidR="00000000" w:rsidRPr="00000000">
              <w:rPr>
                <w:rtl w:val="0"/>
              </w:rPr>
            </w:r>
          </w:p>
          <w:p w:rsidR="00000000" w:rsidDel="00000000" w:rsidP="00000000" w:rsidRDefault="00000000" w:rsidRPr="00000000" w14:paraId="0000001F">
            <w:pPr>
              <w:rPr>
                <w:i w:val="1"/>
                <w:sz w:val="16"/>
                <w:szCs w:val="16"/>
              </w:rPr>
            </w:pPr>
            <w:r w:rsidDel="00000000" w:rsidR="00000000" w:rsidRPr="00000000">
              <w:rPr>
                <w:rtl w:val="0"/>
              </w:rPr>
            </w:r>
          </w:p>
          <w:p w:rsidR="00000000" w:rsidDel="00000000" w:rsidP="00000000" w:rsidRDefault="00000000" w:rsidRPr="00000000" w14:paraId="00000020">
            <w:pPr>
              <w:rPr>
                <w:i w:val="1"/>
                <w:sz w:val="16"/>
                <w:szCs w:val="16"/>
              </w:rPr>
            </w:pPr>
            <w:r w:rsidDel="00000000" w:rsidR="00000000" w:rsidRPr="00000000">
              <w:rPr>
                <w:rtl w:val="0"/>
              </w:rPr>
            </w:r>
          </w:p>
          <w:p w:rsidR="00000000" w:rsidDel="00000000" w:rsidP="00000000" w:rsidRDefault="00000000" w:rsidRPr="00000000" w14:paraId="00000021">
            <w:pPr>
              <w:rPr>
                <w:i w:val="1"/>
                <w:sz w:val="16"/>
                <w:szCs w:val="16"/>
              </w:rPr>
            </w:pPr>
            <w:r w:rsidDel="00000000" w:rsidR="00000000" w:rsidRPr="00000000">
              <w:rPr>
                <w:rtl w:val="0"/>
              </w:rPr>
            </w:r>
          </w:p>
          <w:p w:rsidR="00000000" w:rsidDel="00000000" w:rsidP="00000000" w:rsidRDefault="00000000" w:rsidRPr="00000000" w14:paraId="00000022">
            <w:pPr>
              <w:rPr>
                <w:i w:val="1"/>
                <w:sz w:val="16"/>
                <w:szCs w:val="16"/>
              </w:rPr>
            </w:pPr>
            <w:r w:rsidDel="00000000" w:rsidR="00000000" w:rsidRPr="00000000">
              <w:rPr>
                <w:rtl w:val="0"/>
              </w:rPr>
            </w:r>
          </w:p>
          <w:p w:rsidR="00000000" w:rsidDel="00000000" w:rsidP="00000000" w:rsidRDefault="00000000" w:rsidRPr="00000000" w14:paraId="00000023">
            <w:pPr>
              <w:rPr>
                <w:i w:val="1"/>
                <w:sz w:val="16"/>
                <w:szCs w:val="16"/>
              </w:rPr>
            </w:pPr>
            <w:r w:rsidDel="00000000" w:rsidR="00000000" w:rsidRPr="00000000">
              <w:rPr>
                <w:rtl w:val="0"/>
              </w:rPr>
            </w:r>
          </w:p>
          <w:p w:rsidR="00000000" w:rsidDel="00000000" w:rsidP="00000000" w:rsidRDefault="00000000" w:rsidRPr="00000000" w14:paraId="00000024">
            <w:pPr>
              <w:rPr>
                <w:i w:val="1"/>
                <w:sz w:val="16"/>
                <w:szCs w:val="16"/>
              </w:rPr>
            </w:pPr>
            <w:r w:rsidDel="00000000" w:rsidR="00000000" w:rsidRPr="00000000">
              <w:rPr>
                <w:rtl w:val="0"/>
              </w:rPr>
            </w:r>
          </w:p>
          <w:p w:rsidR="00000000" w:rsidDel="00000000" w:rsidP="00000000" w:rsidRDefault="00000000" w:rsidRPr="00000000" w14:paraId="00000025">
            <w:pPr>
              <w:rPr>
                <w:i w:val="1"/>
                <w:sz w:val="16"/>
                <w:szCs w:val="16"/>
              </w:rPr>
            </w:pPr>
            <w:r w:rsidDel="00000000" w:rsidR="00000000" w:rsidRPr="00000000">
              <w:rPr>
                <w:rtl w:val="0"/>
              </w:rPr>
            </w:r>
          </w:p>
          <w:p w:rsidR="00000000" w:rsidDel="00000000" w:rsidP="00000000" w:rsidRDefault="00000000" w:rsidRPr="00000000" w14:paraId="00000026">
            <w:pPr>
              <w:rPr>
                <w:i w:val="1"/>
                <w:sz w:val="16"/>
                <w:szCs w:val="16"/>
              </w:rPr>
            </w:pPr>
            <w:r w:rsidDel="00000000" w:rsidR="00000000" w:rsidRPr="00000000">
              <w:rPr>
                <w:rtl w:val="0"/>
              </w:rPr>
            </w:r>
          </w:p>
          <w:p w:rsidR="00000000" w:rsidDel="00000000" w:rsidP="00000000" w:rsidRDefault="00000000" w:rsidRPr="00000000" w14:paraId="00000027">
            <w:pPr>
              <w:rPr>
                <w:i w:val="1"/>
                <w:sz w:val="16"/>
                <w:szCs w:val="16"/>
              </w:rPr>
            </w:pPr>
            <w:r w:rsidDel="00000000" w:rsidR="00000000" w:rsidRPr="00000000">
              <w:rPr>
                <w:rtl w:val="0"/>
              </w:rPr>
            </w:r>
          </w:p>
          <w:p w:rsidR="00000000" w:rsidDel="00000000" w:rsidP="00000000" w:rsidRDefault="00000000" w:rsidRPr="00000000" w14:paraId="00000028">
            <w:pPr>
              <w:rPr>
                <w:i w:val="1"/>
                <w:sz w:val="16"/>
                <w:szCs w:val="16"/>
              </w:rPr>
            </w:pPr>
            <w:r w:rsidDel="00000000" w:rsidR="00000000" w:rsidRPr="00000000">
              <w:rPr>
                <w:rtl w:val="0"/>
              </w:rPr>
            </w:r>
          </w:p>
          <w:p w:rsidR="00000000" w:rsidDel="00000000" w:rsidP="00000000" w:rsidRDefault="00000000" w:rsidRPr="00000000" w14:paraId="00000029">
            <w:pPr>
              <w:rPr>
                <w:i w:val="1"/>
                <w:sz w:val="16"/>
                <w:szCs w:val="16"/>
              </w:rPr>
            </w:pPr>
            <w:r w:rsidDel="00000000" w:rsidR="00000000" w:rsidRPr="00000000">
              <w:rPr>
                <w:i w:val="1"/>
                <w:sz w:val="16"/>
                <w:szCs w:val="16"/>
                <w:rtl w:val="0"/>
              </w:rPr>
              <w:t xml:space="preserve">**The Board will seek Mutual</w:t>
            </w:r>
          </w:p>
          <w:p w:rsidR="00000000" w:rsidDel="00000000" w:rsidP="00000000" w:rsidRDefault="00000000" w:rsidRPr="00000000" w14:paraId="0000002A">
            <w:pPr>
              <w:rPr>
                <w:i w:val="1"/>
                <w:sz w:val="16"/>
                <w:szCs w:val="16"/>
              </w:rPr>
            </w:pPr>
            <w:r w:rsidDel="00000000" w:rsidR="00000000" w:rsidRPr="00000000">
              <w:rPr>
                <w:i w:val="1"/>
                <w:sz w:val="16"/>
                <w:szCs w:val="16"/>
                <w:rtl w:val="0"/>
              </w:rPr>
              <w:t xml:space="preserve">Agreement with the Academic Senate.</w:t>
            </w:r>
          </w:p>
          <w:p w:rsidR="00000000" w:rsidDel="00000000" w:rsidP="00000000" w:rsidRDefault="00000000" w:rsidRPr="00000000" w14:paraId="0000002B">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right"/>
              <w:rPr>
                <w:rFonts w:ascii="Calibri" w:cs="Calibri" w:eastAsia="Calibri" w:hAnsi="Calibri"/>
                <w:b w:val="1"/>
                <w:sz w:val="30"/>
                <w:szCs w:val="30"/>
              </w:rPr>
            </w:pPr>
            <w:r w:rsidDel="00000000" w:rsidR="00000000" w:rsidRPr="00000000">
              <w:rPr>
                <w:rFonts w:ascii="Calibri" w:cs="Calibri" w:eastAsia="Calibri" w:hAnsi="Calibri"/>
                <w:b w:val="1"/>
                <w:sz w:val="24"/>
                <w:szCs w:val="24"/>
                <w:rtl w:val="0"/>
              </w:rPr>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1398270</wp:posOffset>
                  </wp:positionH>
                  <wp:positionV relativeFrom="paragraph">
                    <wp:posOffset>50800</wp:posOffset>
                  </wp:positionV>
                  <wp:extent cx="2057400" cy="514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57400" cy="514350"/>
                          </a:xfrm>
                          <a:prstGeom prst="rect"/>
                          <a:ln/>
                        </pic:spPr>
                      </pic:pic>
                    </a:graphicData>
                  </a:graphic>
                </wp:anchor>
              </w:drawing>
            </w:r>
          </w:p>
          <w:p w:rsidR="00000000" w:rsidDel="00000000" w:rsidP="00000000" w:rsidRDefault="00000000" w:rsidRPr="00000000" w14:paraId="0000002D">
            <w:pPr>
              <w:jc w:val="righ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E">
            <w:pPr>
              <w:jc w:val="righ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F">
            <w:pPr>
              <w:jc w:val="center"/>
              <w:rPr>
                <w:color w:val="38761d"/>
                <w:sz w:val="30"/>
                <w:szCs w:val="30"/>
              </w:rPr>
            </w:pPr>
            <w:r w:rsidDel="00000000" w:rsidR="00000000" w:rsidRPr="00000000">
              <w:rPr>
                <w:rFonts w:ascii="Calibri" w:cs="Calibri" w:eastAsia="Calibri" w:hAnsi="Calibri"/>
                <w:b w:val="1"/>
                <w:color w:val="38761d"/>
                <w:sz w:val="30"/>
                <w:szCs w:val="30"/>
                <w:rtl w:val="0"/>
              </w:rPr>
              <w:t xml:space="preserve">Academic Senate Agenda</w:t>
            </w:r>
            <w:r w:rsidDel="00000000" w:rsidR="00000000" w:rsidRPr="00000000">
              <w:rPr>
                <w:rtl w:val="0"/>
              </w:rPr>
            </w:r>
          </w:p>
          <w:p w:rsidR="00000000" w:rsidDel="00000000" w:rsidP="00000000" w:rsidRDefault="00000000" w:rsidRPr="00000000" w14:paraId="00000030">
            <w:pPr>
              <w:spacing w:after="200" w:line="276" w:lineRule="auto"/>
              <w:jc w:val="center"/>
              <w:rPr>
                <w:b w:val="1"/>
                <w:color w:val="38761d"/>
                <w:sz w:val="24"/>
                <w:szCs w:val="24"/>
              </w:rPr>
            </w:pPr>
            <w:r w:rsidDel="00000000" w:rsidR="00000000" w:rsidRPr="00000000">
              <w:rPr>
                <w:rFonts w:ascii="Calibri" w:cs="Calibri" w:eastAsia="Calibri" w:hAnsi="Calibri"/>
                <w:b w:val="1"/>
                <w:color w:val="38761d"/>
                <w:sz w:val="24"/>
                <w:szCs w:val="24"/>
                <w:rtl w:val="0"/>
              </w:rPr>
              <w:t xml:space="preserve">Monday, </w:t>
            </w:r>
            <w:r w:rsidDel="00000000" w:rsidR="00000000" w:rsidRPr="00000000">
              <w:rPr>
                <w:b w:val="1"/>
                <w:color w:val="38761d"/>
                <w:sz w:val="24"/>
                <w:szCs w:val="24"/>
                <w:rtl w:val="0"/>
              </w:rPr>
              <w:t xml:space="preserve">November 3,</w:t>
            </w:r>
            <w:r w:rsidDel="00000000" w:rsidR="00000000" w:rsidRPr="00000000">
              <w:rPr>
                <w:rFonts w:ascii="Calibri" w:cs="Calibri" w:eastAsia="Calibri" w:hAnsi="Calibri"/>
                <w:b w:val="1"/>
                <w:color w:val="38761d"/>
                <w:sz w:val="24"/>
                <w:szCs w:val="24"/>
                <w:rtl w:val="0"/>
              </w:rPr>
              <w:t xml:space="preserve"> 202</w:t>
            </w:r>
            <w:r w:rsidDel="00000000" w:rsidR="00000000" w:rsidRPr="00000000">
              <w:rPr>
                <w:b w:val="1"/>
                <w:color w:val="38761d"/>
                <w:sz w:val="24"/>
                <w:szCs w:val="24"/>
                <w:rtl w:val="0"/>
              </w:rPr>
              <w:t xml:space="preserve">5</w:t>
            </w:r>
            <w:r w:rsidDel="00000000" w:rsidR="00000000" w:rsidRPr="00000000">
              <w:rPr>
                <w:rFonts w:ascii="Calibri" w:cs="Calibri" w:eastAsia="Calibri" w:hAnsi="Calibri"/>
                <w:b w:val="1"/>
                <w:color w:val="38761d"/>
                <w:sz w:val="24"/>
                <w:szCs w:val="24"/>
                <w:rtl w:val="0"/>
              </w:rPr>
              <w:br w:type="textWrapping"/>
              <w:t xml:space="preserve">11:00 am–12:20 pm</w:t>
              <w:br w:type="textWrapping"/>
            </w:r>
            <w:r w:rsidDel="00000000" w:rsidR="00000000" w:rsidRPr="00000000">
              <w:rPr>
                <w:b w:val="1"/>
                <w:color w:val="38761d"/>
                <w:sz w:val="24"/>
                <w:szCs w:val="24"/>
                <w:rtl w:val="0"/>
              </w:rPr>
              <w:t xml:space="preserve">Room 70-131</w:t>
            </w:r>
          </w:p>
          <w:p w:rsidR="00000000" w:rsidDel="00000000" w:rsidP="00000000" w:rsidRDefault="00000000" w:rsidRPr="00000000" w14:paraId="00000031">
            <w:pPr>
              <w:spacing w:after="200" w:line="276" w:lineRule="auto"/>
              <w:jc w:val="center"/>
              <w:rPr>
                <w:b w:val="1"/>
                <w:color w:val="47802e"/>
                <w:sz w:val="24"/>
                <w:szCs w:val="24"/>
              </w:rPr>
            </w:pPr>
            <w:hyperlink r:id="rId8">
              <w:r w:rsidDel="00000000" w:rsidR="00000000" w:rsidRPr="00000000">
                <w:rPr>
                  <w:b w:val="1"/>
                  <w:color w:val="47802e"/>
                  <w:sz w:val="24"/>
                  <w:szCs w:val="24"/>
                  <w:u w:val="single"/>
                  <w:rtl w:val="0"/>
                </w:rPr>
                <w:t xml:space="preserve">ATTACHMENTS</w:t>
              </w:r>
            </w:hyperlink>
            <w:r w:rsidDel="00000000" w:rsidR="00000000" w:rsidRPr="00000000">
              <w:rPr>
                <w:rtl w:val="0"/>
              </w:rPr>
            </w:r>
          </w:p>
          <w:p w:rsidR="00000000" w:rsidDel="00000000" w:rsidP="00000000" w:rsidRDefault="00000000" w:rsidRPr="00000000" w14:paraId="00000032">
            <w:pPr>
              <w:spacing w:after="20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i w:val="0"/>
                <w:smallCaps w:val="0"/>
                <w:strike w:val="0"/>
                <w:color w:val="38761d"/>
                <w:sz w:val="24"/>
                <w:szCs w:val="24"/>
                <w:u w:val="none"/>
                <w:shd w:fill="auto" w:val="clear"/>
                <w:vertAlign w:val="baseline"/>
                <w:rtl w:val="0"/>
              </w:rPr>
              <w:t xml:space="preserve">Call to Order</w:t>
            </w:r>
            <w:r w:rsidDel="00000000" w:rsidR="00000000" w:rsidRPr="00000000">
              <w:rPr>
                <w:rFonts w:ascii="Calibri" w:cs="Calibri" w:eastAsia="Calibri" w:hAnsi="Calibri"/>
                <w:b w:val="0"/>
                <w:i w:val="0"/>
                <w:smallCaps w:val="0"/>
                <w:strike w:val="0"/>
                <w:color w:val="38761d"/>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11:00 AM</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color w:val="38761d"/>
                <w:sz w:val="24"/>
                <w:szCs w:val="24"/>
                <w:rtl w:val="0"/>
              </w:rPr>
              <w:t xml:space="preserve">Public Comment</w:t>
            </w:r>
            <w:r w:rsidDel="00000000" w:rsidR="00000000" w:rsidRPr="00000000">
              <w:rPr>
                <w:sz w:val="24"/>
                <w:szCs w:val="24"/>
                <w:rtl w:val="0"/>
              </w:rPr>
              <w:t xml:space="preserve">—</w:t>
            </w:r>
            <w:r w:rsidDel="00000000" w:rsidR="00000000" w:rsidRPr="00000000">
              <w:rPr>
                <w:i w:val="1"/>
                <w:rtl w:val="0"/>
              </w:rPr>
              <w:t xml:space="preserve">Persons wishing to address the 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will be given a maximum of 4 minutes to address 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about a non-agendized item or items, with a maximum of 15 minutes allowed for public comment. 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may vote to extend public comment at any meeting. </w:t>
            </w:r>
            <w:r w:rsidDel="00000000" w:rsidR="00000000" w:rsidRPr="00000000">
              <w:rPr>
                <w:i w:val="1"/>
                <w:rtl w:val="0"/>
              </w:rPr>
              <w:t xml:space="preserve">If you wish to speak during public comment, please complete the attached </w:t>
            </w:r>
            <w:hyperlink r:id="rId9">
              <w:r w:rsidDel="00000000" w:rsidR="00000000" w:rsidRPr="00000000">
                <w:rPr>
                  <w:b w:val="1"/>
                  <w:i w:val="1"/>
                  <w:color w:val="38761d"/>
                  <w:u w:val="single"/>
                  <w:rtl w:val="0"/>
                </w:rPr>
                <w:t xml:space="preserve">form </w:t>
              </w:r>
            </w:hyperlink>
            <w:r w:rsidDel="00000000" w:rsidR="00000000" w:rsidRPr="00000000">
              <w:rPr>
                <w:i w:val="1"/>
                <w:rtl w:val="0"/>
              </w:rPr>
              <w:t xml:space="preserve">by Thursday, within 72 hours of the scheduled academic senate meeting.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w:t>
            </w:r>
            <w:r w:rsidDel="00000000" w:rsidR="00000000" w:rsidRPr="00000000">
              <w:rPr>
                <w:i w:val="1"/>
                <w:rtl w:val="0"/>
              </w:rPr>
              <w:t xml:space="preserve">Senate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welcomes all speakers to participate in the discussion on </w:t>
            </w:r>
            <w:r w:rsidDel="00000000" w:rsidR="00000000" w:rsidRPr="00000000">
              <w:rPr>
                <w:i w:val="1"/>
                <w:rtl w:val="0"/>
              </w:rPr>
              <w:t xml:space="preserve">agendized</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items.</w:t>
            </w:r>
          </w:p>
          <w:p w:rsidR="00000000" w:rsidDel="00000000" w:rsidP="00000000" w:rsidRDefault="00000000" w:rsidRPr="00000000" w14:paraId="00000035">
            <w:pPr>
              <w:numPr>
                <w:ilvl w:val="0"/>
                <w:numId w:val="1"/>
              </w:numPr>
              <w:spacing w:before="200" w:line="240" w:lineRule="auto"/>
              <w:ind w:left="360"/>
              <w:rPr>
                <w:sz w:val="24"/>
                <w:szCs w:val="24"/>
              </w:rPr>
            </w:pPr>
            <w:r w:rsidDel="00000000" w:rsidR="00000000" w:rsidRPr="00000000">
              <w:rPr>
                <w:b w:val="1"/>
                <w:color w:val="38761d"/>
                <w:sz w:val="24"/>
                <w:szCs w:val="24"/>
                <w:rtl w:val="0"/>
              </w:rPr>
              <w:t xml:space="preserve">Approval of minutes</w:t>
            </w:r>
            <w:r w:rsidDel="00000000" w:rsidR="00000000" w:rsidRPr="00000000">
              <w:rPr>
                <w:color w:val="38761d"/>
                <w:sz w:val="24"/>
                <w:szCs w:val="24"/>
                <w:rtl w:val="0"/>
              </w:rPr>
              <w:t xml:space="preserve"> </w:t>
            </w:r>
            <w:r w:rsidDel="00000000" w:rsidR="00000000" w:rsidRPr="00000000">
              <w:rPr>
                <w:sz w:val="24"/>
                <w:szCs w:val="24"/>
                <w:rtl w:val="0"/>
              </w:rPr>
              <w:t xml:space="preserve">(10/20/25)</w:t>
              <w:tab/>
              <w:tab/>
              <w:tab/>
              <w:tab/>
              <w:t xml:space="preserve">  (2 min)</w:t>
            </w:r>
          </w:p>
          <w:p w:rsidR="00000000" w:rsidDel="00000000" w:rsidP="00000000" w:rsidRDefault="00000000" w:rsidRPr="00000000" w14:paraId="00000036">
            <w:pPr>
              <w:numPr>
                <w:ilvl w:val="0"/>
                <w:numId w:val="1"/>
              </w:numPr>
              <w:spacing w:before="200" w:line="360" w:lineRule="auto"/>
              <w:ind w:left="360"/>
              <w:rPr>
                <w:sz w:val="24"/>
                <w:szCs w:val="24"/>
              </w:rPr>
            </w:pPr>
            <w:r w:rsidDel="00000000" w:rsidR="00000000" w:rsidRPr="00000000">
              <w:rPr>
                <w:b w:val="1"/>
                <w:color w:val="38761d"/>
                <w:sz w:val="24"/>
                <w:szCs w:val="24"/>
                <w:rtl w:val="0"/>
              </w:rPr>
              <w:t xml:space="preserve">Approval of Agenda</w:t>
            </w:r>
            <w:r w:rsidDel="00000000" w:rsidR="00000000" w:rsidRPr="00000000">
              <w:rPr>
                <w:sz w:val="24"/>
                <w:szCs w:val="24"/>
                <w:rtl w:val="0"/>
              </w:rPr>
              <w:tab/>
              <w:tab/>
              <w:tab/>
              <w:tab/>
              <w:tab/>
              <w:t xml:space="preserve">  (2 min)</w:t>
            </w:r>
          </w:p>
          <w:p w:rsidR="00000000" w:rsidDel="00000000" w:rsidP="00000000" w:rsidRDefault="00000000" w:rsidRPr="00000000" w14:paraId="00000037">
            <w:pPr>
              <w:numPr>
                <w:ilvl w:val="0"/>
                <w:numId w:val="1"/>
              </w:numPr>
              <w:spacing w:line="360" w:lineRule="auto"/>
              <w:ind w:left="360"/>
              <w:rPr>
                <w:rFonts w:ascii="Arial" w:cs="Arial" w:eastAsia="Arial" w:hAnsi="Arial"/>
              </w:rPr>
            </w:pPr>
            <w:r w:rsidDel="00000000" w:rsidR="00000000" w:rsidRPr="00000000">
              <w:rPr>
                <w:b w:val="1"/>
                <w:color w:val="38761d"/>
                <w:sz w:val="24"/>
                <w:szCs w:val="24"/>
                <w:rtl w:val="0"/>
              </w:rPr>
              <w:t xml:space="preserve">Announcements</w:t>
            </w:r>
            <w:r w:rsidDel="00000000" w:rsidR="00000000" w:rsidRPr="00000000">
              <w:rPr>
                <w:b w:val="1"/>
                <w:sz w:val="24"/>
                <w:szCs w:val="24"/>
                <w:rtl w:val="0"/>
              </w:rPr>
              <w:tab/>
            </w:r>
          </w:p>
          <w:p w:rsidR="00000000" w:rsidDel="00000000" w:rsidP="00000000" w:rsidRDefault="00000000" w:rsidRPr="00000000" w14:paraId="00000038">
            <w:pPr>
              <w:spacing w:line="360" w:lineRule="auto"/>
              <w:ind w:left="360" w:firstLine="0"/>
              <w:rPr>
                <w:sz w:val="24"/>
                <w:szCs w:val="24"/>
              </w:rPr>
            </w:pPr>
            <w:r w:rsidDel="00000000" w:rsidR="00000000" w:rsidRPr="00000000">
              <w:rPr>
                <w:sz w:val="24"/>
                <w:szCs w:val="24"/>
                <w:rtl w:val="0"/>
              </w:rPr>
              <w:t xml:space="preserve">5.1 Reminder Support-Active Duty/Veterans Day Event (11/10/25)</w:t>
            </w:r>
          </w:p>
          <w:p w:rsidR="00000000" w:rsidDel="00000000" w:rsidP="00000000" w:rsidRDefault="00000000" w:rsidRPr="00000000" w14:paraId="00000039">
            <w:pPr>
              <w:spacing w:line="360" w:lineRule="auto"/>
              <w:ind w:left="360" w:firstLine="0"/>
              <w:rPr>
                <w:sz w:val="24"/>
                <w:szCs w:val="24"/>
              </w:rPr>
            </w:pPr>
            <w:r w:rsidDel="00000000" w:rsidR="00000000" w:rsidRPr="00000000">
              <w:rPr>
                <w:sz w:val="24"/>
                <w:szCs w:val="24"/>
                <w:rtl w:val="0"/>
              </w:rPr>
              <w:t xml:space="preserve">5.2 Child Development Program (Family Night Support)</w:t>
            </w:r>
          </w:p>
          <w:p w:rsidR="00000000" w:rsidDel="00000000" w:rsidP="00000000" w:rsidRDefault="00000000" w:rsidRPr="00000000" w14:paraId="0000003A">
            <w:pPr>
              <w:spacing w:line="360" w:lineRule="auto"/>
              <w:ind w:left="360" w:firstLine="0"/>
              <w:rPr>
                <w:sz w:val="24"/>
                <w:szCs w:val="24"/>
              </w:rPr>
            </w:pPr>
            <w:r w:rsidDel="00000000" w:rsidR="00000000" w:rsidRPr="00000000">
              <w:rPr>
                <w:sz w:val="24"/>
                <w:szCs w:val="24"/>
                <w:rtl w:val="0"/>
              </w:rPr>
              <w:t xml:space="preserve">5.3 Basic Needs Resources (Supporting our students)</w:t>
            </w:r>
          </w:p>
          <w:p w:rsidR="00000000" w:rsidDel="00000000" w:rsidP="00000000" w:rsidRDefault="00000000" w:rsidRPr="00000000" w14:paraId="0000003B">
            <w:pPr>
              <w:spacing w:line="360" w:lineRule="auto"/>
              <w:ind w:left="360" w:firstLine="0"/>
              <w:rPr>
                <w:sz w:val="24"/>
                <w:szCs w:val="24"/>
              </w:rPr>
            </w:pPr>
            <w:r w:rsidDel="00000000" w:rsidR="00000000" w:rsidRPr="00000000">
              <w:rPr>
                <w:sz w:val="24"/>
                <w:szCs w:val="24"/>
                <w:rtl w:val="0"/>
              </w:rPr>
              <w:t xml:space="preserve">5.4 Academic Senate Google Site-Active with posted ASCCC Announcements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smallCaps w:val="0"/>
                <w:strike w:val="0"/>
                <w:sz w:val="24"/>
                <w:szCs w:val="24"/>
                <w:shd w:fill="auto" w:val="clear"/>
                <w:vertAlign w:val="baseline"/>
              </w:rPr>
            </w:pPr>
            <w:r w:rsidDel="00000000" w:rsidR="00000000" w:rsidRPr="00000000">
              <w:rPr>
                <w:b w:val="1"/>
                <w:i w:val="0"/>
                <w:smallCaps w:val="0"/>
                <w:strike w:val="0"/>
                <w:color w:val="38761d"/>
                <w:sz w:val="24"/>
                <w:szCs w:val="24"/>
                <w:u w:val="none"/>
                <w:shd w:fill="auto" w:val="clear"/>
                <w:vertAlign w:val="baseline"/>
                <w:rtl w:val="0"/>
              </w:rPr>
              <w:t xml:space="preserve">President’s Report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r>
            <w:r w:rsidDel="00000000" w:rsidR="00000000" w:rsidRPr="00000000">
              <w:rPr>
                <w:sz w:val="24"/>
                <w:szCs w:val="24"/>
                <w:rtl w:val="0"/>
              </w:rPr>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min)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6.1 Human Resources Council Update (</w:t>
            </w:r>
            <w:hyperlink r:id="rId10">
              <w:r w:rsidDel="00000000" w:rsidR="00000000" w:rsidRPr="00000000">
                <w:rPr>
                  <w:color w:val="1155cc"/>
                  <w:sz w:val="24"/>
                  <w:szCs w:val="24"/>
                  <w:u w:val="single"/>
                  <w:rtl w:val="0"/>
                </w:rPr>
                <w:t xml:space="preserve">AP 2710</w:t>
              </w:r>
            </w:hyperlink>
            <w:r w:rsidDel="00000000" w:rsidR="00000000" w:rsidRPr="00000000">
              <w:rPr>
                <w:sz w:val="24"/>
                <w:szCs w:val="24"/>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highlight w:val="white"/>
              </w:rPr>
            </w:pPr>
            <w:r w:rsidDel="00000000" w:rsidR="00000000" w:rsidRPr="00000000">
              <w:rPr>
                <w:sz w:val="24"/>
                <w:szCs w:val="24"/>
                <w:rtl w:val="0"/>
              </w:rPr>
              <w:t xml:space="preserve">6.2 </w:t>
            </w:r>
            <w:hyperlink r:id="rId11">
              <w:r w:rsidDel="00000000" w:rsidR="00000000" w:rsidRPr="00000000">
                <w:rPr>
                  <w:color w:val="1155cc"/>
                  <w:sz w:val="24"/>
                  <w:szCs w:val="24"/>
                  <w:u w:val="single"/>
                  <w:rtl w:val="0"/>
                </w:rPr>
                <w:t xml:space="preserve">Draft Academic Calendar 2027-2028</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6.3 Modification of Faculty Prioritization Committee Proposal (Charge &amp; Composition changes)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6.4  Student arrest on campus (Follow-up requested from College/District)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sz w:val="24"/>
                <w:szCs w:val="24"/>
                <w:rtl w:val="0"/>
              </w:rPr>
              <w:t xml:space="preserve">6.5  Renewing Discretionary Time (RT- delays)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z w:val="24"/>
                <w:szCs w:val="24"/>
              </w:rPr>
            </w:pPr>
            <w:r w:rsidDel="00000000" w:rsidR="00000000" w:rsidRPr="00000000">
              <w:rPr>
                <w:sz w:val="24"/>
                <w:szCs w:val="24"/>
                <w:rtl w:val="0"/>
              </w:rPr>
              <w:t xml:space="preserve">7.  </w:t>
            </w:r>
            <w:r w:rsidDel="00000000" w:rsidR="00000000" w:rsidRPr="00000000">
              <w:rPr>
                <w:b w:val="1"/>
                <w:color w:val="38761d"/>
                <w:sz w:val="24"/>
                <w:szCs w:val="24"/>
                <w:rtl w:val="0"/>
              </w:rPr>
              <w:t xml:space="preserve">Information Items</w:t>
            </w:r>
            <w:r w:rsidDel="00000000" w:rsidR="00000000" w:rsidRPr="00000000">
              <w:rPr>
                <w:sz w:val="24"/>
                <w:szCs w:val="24"/>
                <w:rtl w:val="0"/>
              </w:rPr>
              <w:t xml:space="preserve">: </w:t>
            </w:r>
            <w:r w:rsidDel="00000000" w:rsidR="00000000" w:rsidRPr="00000000">
              <w:rPr>
                <w:i w:val="1"/>
                <w:sz w:val="24"/>
                <w:szCs w:val="24"/>
                <w:rtl w:val="0"/>
              </w:rPr>
              <w:t xml:space="preserve">Updates and information are presented for discussion and feedback, including the introduction of items that will need constituency feedback and a vote of approval or endorsement at the next meeting.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        7.1 Resolution Affirming 10+1 Primacy (1st Read)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242424"/>
                <w:sz w:val="24"/>
                <w:szCs w:val="24"/>
              </w:rPr>
            </w:pPr>
            <w:r w:rsidDel="00000000" w:rsidR="00000000" w:rsidRPr="00000000">
              <w:rPr>
                <w:sz w:val="24"/>
                <w:szCs w:val="24"/>
                <w:rtl w:val="0"/>
              </w:rPr>
              <w:t xml:space="preserve">        7.2  </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AP/BP4021</w:t>
              </w:r>
            </w:hyperlink>
            <w:r w:rsidDel="00000000" w:rsidR="00000000" w:rsidRPr="00000000">
              <w:rPr>
                <w:sz w:val="24"/>
                <w:szCs w:val="24"/>
                <w:rtl w:val="0"/>
              </w:rPr>
              <w:t xml:space="preserve"> Program Discontinuance</w:t>
            </w:r>
            <w:r w:rsidDel="00000000" w:rsidR="00000000" w:rsidRPr="00000000">
              <w:rPr>
                <w:color w:val="242424"/>
                <w:sz w:val="24"/>
                <w:szCs w:val="24"/>
                <w:rtl w:val="0"/>
              </w:rPr>
              <w:t xml:space="preserve"> (Please review for recommendations)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4"/>
                <w:szCs w:val="24"/>
              </w:rPr>
            </w:pPr>
            <w:r w:rsidDel="00000000" w:rsidR="00000000" w:rsidRPr="00000000">
              <w:rPr>
                <w:sz w:val="24"/>
                <w:szCs w:val="24"/>
                <w:rtl w:val="0"/>
              </w:rPr>
              <w:t xml:space="preserve">8. </w:t>
            </w:r>
            <w:r w:rsidDel="00000000" w:rsidR="00000000" w:rsidRPr="00000000">
              <w:rPr>
                <w:b w:val="1"/>
                <w:color w:val="38761d"/>
                <w:sz w:val="24"/>
                <w:szCs w:val="24"/>
                <w:rtl w:val="0"/>
              </w:rPr>
              <w:t xml:space="preserve">Presentations </w:t>
            </w:r>
            <w:r w:rsidDel="00000000" w:rsidR="00000000" w:rsidRPr="00000000">
              <w:rPr>
                <w:b w:val="1"/>
                <w:sz w:val="24"/>
                <w:szCs w:val="24"/>
                <w:rtl w:val="0"/>
              </w:rPr>
              <w:t xml:space="preserve">(</w:t>
            </w:r>
            <w:r w:rsidDel="00000000" w:rsidR="00000000" w:rsidRPr="00000000">
              <w:rPr>
                <w:sz w:val="24"/>
                <w:szCs w:val="24"/>
                <w:rtl w:val="0"/>
              </w:rPr>
              <w:t xml:space="preserve">Faculty Representatives Reports- Senate &amp; Participatory Governance Committees)</w:t>
            </w:r>
          </w:p>
          <w:tbl>
            <w:tblPr>
              <w:tblStyle w:val="Table2"/>
              <w:tblW w:w="7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965"/>
              <w:gridCol w:w="1830"/>
              <w:gridCol w:w="1995"/>
              <w:tblGridChange w:id="0">
                <w:tblGrid>
                  <w:gridCol w:w="2190"/>
                  <w:gridCol w:w="1965"/>
                  <w:gridCol w:w="1830"/>
                  <w:gridCol w:w="1995"/>
                </w:tblGrid>
              </w:tblGridChange>
            </w:tblGrid>
            <w:tr>
              <w:trPr>
                <w:cantSplit w:val="0"/>
                <w:tblHeader w:val="0"/>
              </w:trPr>
              <w:tc>
                <w:tcPr>
                  <w:shd w:fill="6aa84f"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Participatory Governance Committees</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Faculty Representatives</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Senate Committees</w:t>
                  </w:r>
                </w:p>
              </w:tc>
              <w:tc>
                <w:tcPr>
                  <w:shd w:fill="6aa84f"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Faculty Representative (Chair/Designee)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360" w:lineRule="auto"/>
                    <w:ind w:left="0" w:firstLine="0"/>
                    <w:rPr>
                      <w:sz w:val="24"/>
                      <w:szCs w:val="24"/>
                    </w:rPr>
                  </w:pPr>
                  <w:r w:rsidDel="00000000" w:rsidR="00000000" w:rsidRPr="00000000">
                    <w:rPr>
                      <w:sz w:val="24"/>
                      <w:szCs w:val="24"/>
                      <w:rtl w:val="0"/>
                    </w:rPr>
                    <w:t xml:space="preserve">Budget Committee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 Lopez/ J</w:t>
                  </w:r>
                  <w:r w:rsidDel="00000000" w:rsidR="00000000" w:rsidRPr="00000000">
                    <w:rPr>
                      <w:rtl w:val="0"/>
                    </w:rPr>
                    <w:t xml:space="preserve">.</w:t>
                  </w:r>
                  <w:r w:rsidDel="00000000" w:rsidR="00000000" w:rsidRPr="00000000">
                    <w:rPr>
                      <w:rtl w:val="0"/>
                    </w:rPr>
                    <w:t xml:space="preserve">Bergovoy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Curriculum Committee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D.Aceves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360" w:lineRule="auto"/>
                    <w:ind w:left="0" w:firstLine="0"/>
                    <w:rPr>
                      <w:sz w:val="24"/>
                      <w:szCs w:val="24"/>
                    </w:rPr>
                  </w:pPr>
                  <w:r w:rsidDel="00000000" w:rsidR="00000000" w:rsidRPr="00000000">
                    <w:rPr>
                      <w:sz w:val="24"/>
                      <w:szCs w:val="24"/>
                      <w:rtl w:val="0"/>
                    </w:rPr>
                    <w:t xml:space="preserve">College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ind w:left="0" w:firstLine="0"/>
                    <w:rPr>
                      <w:sz w:val="24"/>
                      <w:szCs w:val="24"/>
                    </w:rPr>
                  </w:pPr>
                  <w:r w:rsidDel="00000000" w:rsidR="00000000" w:rsidRPr="00000000">
                    <w:rPr>
                      <w:sz w:val="24"/>
                      <w:szCs w:val="24"/>
                      <w:rtl w:val="0"/>
                    </w:rPr>
                    <w:t xml:space="preserve">S.Sampson/R. Unis/J.Wahler/ J.Yang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FPDC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E.Burke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240" w:lineRule="auto"/>
                    <w:ind w:left="0" w:firstLine="0"/>
                    <w:rPr>
                      <w:sz w:val="24"/>
                      <w:szCs w:val="24"/>
                    </w:rPr>
                  </w:pPr>
                  <w:r w:rsidDel="00000000" w:rsidR="00000000" w:rsidRPr="00000000">
                    <w:rPr>
                      <w:sz w:val="24"/>
                      <w:szCs w:val="24"/>
                      <w:rtl w:val="0"/>
                    </w:rPr>
                    <w:t xml:space="preserve">Facilities Committee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ind w:left="0" w:firstLine="0"/>
                    <w:rPr>
                      <w:sz w:val="24"/>
                      <w:szCs w:val="24"/>
                    </w:rPr>
                  </w:pPr>
                  <w:r w:rsidDel="00000000" w:rsidR="00000000" w:rsidRPr="00000000">
                    <w:rPr>
                      <w:sz w:val="24"/>
                      <w:szCs w:val="24"/>
                      <w:rtl w:val="0"/>
                    </w:rPr>
                    <w:t xml:space="preserve">M. Bacon/R.Gray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OTLC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A.Roe/A.Feres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360" w:lineRule="auto"/>
                    <w:ind w:left="0" w:firstLine="0"/>
                    <w:rPr>
                      <w:sz w:val="24"/>
                      <w:szCs w:val="24"/>
                    </w:rPr>
                  </w:pPr>
                  <w:r w:rsidDel="00000000" w:rsidR="00000000" w:rsidRPr="00000000">
                    <w:rPr>
                      <w:sz w:val="24"/>
                      <w:szCs w:val="24"/>
                      <w:rtl w:val="0"/>
                    </w:rPr>
                    <w:t xml:space="preserve">PIEC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240" w:lineRule="auto"/>
                    <w:ind w:left="0" w:firstLine="0"/>
                    <w:rPr>
                      <w:sz w:val="24"/>
                      <w:szCs w:val="24"/>
                    </w:rPr>
                  </w:pPr>
                  <w:r w:rsidDel="00000000" w:rsidR="00000000" w:rsidRPr="00000000">
                    <w:rPr>
                      <w:sz w:val="24"/>
                      <w:szCs w:val="24"/>
                      <w:rtl w:val="0"/>
                    </w:rPr>
                    <w:t xml:space="preserve">M.Molina/R.Akua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OER/ZTC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sz w:val="24"/>
                      <w:szCs w:val="24"/>
                    </w:rPr>
                  </w:pPr>
                  <w:r w:rsidDel="00000000" w:rsidR="00000000" w:rsidRPr="00000000">
                    <w:rPr>
                      <w:sz w:val="24"/>
                      <w:szCs w:val="24"/>
                      <w:rtl w:val="0"/>
                    </w:rPr>
                    <w:t xml:space="preserve">Z.Tethong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ind w:left="0" w:firstLine="0"/>
                    <w:rPr>
                      <w:sz w:val="24"/>
                      <w:szCs w:val="24"/>
                    </w:rPr>
                  </w:pPr>
                  <w:r w:rsidDel="00000000" w:rsidR="00000000" w:rsidRPr="00000000">
                    <w:rPr>
                      <w:sz w:val="24"/>
                      <w:szCs w:val="24"/>
                      <w:rtl w:val="0"/>
                    </w:rPr>
                    <w:t xml:space="preserve">Professional Development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t xml:space="preserve">Michael Kelley</w:t>
                  </w:r>
                  <w:r w:rsidDel="00000000" w:rsidR="00000000" w:rsidRPr="00000000">
                    <w:rPr>
                      <w:rFonts w:ascii="Lato" w:cs="Lato" w:eastAsia="Lato" w:hAnsi="Lato"/>
                      <w:color w:val="212529"/>
                      <w:sz w:val="21"/>
                      <w:szCs w:val="21"/>
                      <w:shd w:fill="ecf0f1" w:val="clear"/>
                      <w:rtl w:val="0"/>
                    </w:rPr>
                    <w:t xml:space="preserve">/</w:t>
                  </w:r>
                  <w:r w:rsidDel="00000000" w:rsidR="00000000" w:rsidRPr="00000000">
                    <w:rPr>
                      <w:rFonts w:ascii="Lato" w:cs="Lato" w:eastAsia="Lato" w:hAnsi="Lato"/>
                      <w:color w:val="212529"/>
                      <w:sz w:val="21"/>
                      <w:szCs w:val="21"/>
                      <w:highlight w:val="white"/>
                      <w:rtl w:val="0"/>
                    </w:rPr>
                    <w:t xml:space="preserve">Lucy Holland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Part-time Faculty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R.Unis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360" w:lineRule="auto"/>
                    <w:ind w:left="0" w:firstLine="0"/>
                    <w:rPr>
                      <w:sz w:val="24"/>
                      <w:szCs w:val="24"/>
                    </w:rPr>
                  </w:pPr>
                  <w:r w:rsidDel="00000000" w:rsidR="00000000" w:rsidRPr="00000000">
                    <w:rPr>
                      <w:sz w:val="24"/>
                      <w:szCs w:val="24"/>
                      <w:rtl w:val="0"/>
                    </w:rPr>
                    <w:t xml:space="preserve">Staffing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360" w:lineRule="auto"/>
                    <w:ind w:left="0" w:firstLine="0"/>
                    <w:rPr>
                      <w:sz w:val="24"/>
                      <w:szCs w:val="24"/>
                    </w:rPr>
                  </w:pPr>
                  <w:r w:rsidDel="00000000" w:rsidR="00000000" w:rsidRPr="00000000">
                    <w:rPr>
                      <w:sz w:val="24"/>
                      <w:szCs w:val="24"/>
                      <w:rtl w:val="0"/>
                    </w:rPr>
                    <w:t xml:space="preserve">J.Yang/</w:t>
                  </w:r>
                </w:p>
                <w:p w:rsidR="00000000" w:rsidDel="00000000" w:rsidP="00000000" w:rsidRDefault="00000000" w:rsidRPr="00000000" w14:paraId="00000061">
                  <w:pPr>
                    <w:spacing w:after="0" w:line="360" w:lineRule="auto"/>
                    <w:ind w:left="0" w:firstLine="0"/>
                    <w:rPr>
                      <w:sz w:val="24"/>
                      <w:szCs w:val="24"/>
                    </w:rPr>
                  </w:pPr>
                  <w:r w:rsidDel="00000000" w:rsidR="00000000" w:rsidRPr="00000000">
                    <w:rPr>
                      <w:rtl w:val="0"/>
                    </w:rPr>
                    <w:t xml:space="preserve">A.DiDomenico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Program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J.Fries/K.Menck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ind w:left="0" w:firstLine="0"/>
                    <w:rPr>
                      <w:sz w:val="24"/>
                      <w:szCs w:val="24"/>
                    </w:rPr>
                  </w:pPr>
                  <w:r w:rsidDel="00000000" w:rsidR="00000000" w:rsidRPr="00000000">
                    <w:rPr>
                      <w:sz w:val="24"/>
                      <w:szCs w:val="24"/>
                      <w:rtl w:val="0"/>
                    </w:rPr>
                    <w:t xml:space="preserve">Faculty Staffing Prioritization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360" w:lineRule="auto"/>
                    <w:ind w:left="0" w:firstLine="0"/>
                    <w:rPr>
                      <w:sz w:val="24"/>
                      <w:szCs w:val="24"/>
                    </w:rPr>
                  </w:pPr>
                  <w:r w:rsidDel="00000000" w:rsidR="00000000" w:rsidRPr="00000000">
                    <w:rPr>
                      <w:sz w:val="24"/>
                      <w:szCs w:val="24"/>
                      <w:rtl w:val="0"/>
                    </w:rPr>
                    <w:t xml:space="preserve">A.Barkzi</w:t>
                  </w:r>
                  <w:r w:rsidDel="00000000" w:rsidR="00000000" w:rsidRPr="00000000">
                    <w:rPr>
                      <w:rtl w:val="0"/>
                    </w:rPr>
                    <w:t xml:space="preserve"> /</w:t>
                  </w:r>
                  <w:r w:rsidDel="00000000" w:rsidR="00000000" w:rsidRPr="00000000">
                    <w:rPr>
                      <w:sz w:val="24"/>
                      <w:szCs w:val="24"/>
                      <w:rtl w:val="0"/>
                    </w:rPr>
                    <w:t xml:space="preserve">L. Braff/B.Fitzgerald/</w:t>
                  </w:r>
                  <w:r w:rsidDel="00000000" w:rsidR="00000000" w:rsidRPr="00000000">
                    <w:rPr>
                      <w:rFonts w:ascii="Lato" w:cs="Lato" w:eastAsia="Lato" w:hAnsi="Lato"/>
                      <w:color w:val="212529"/>
                      <w:sz w:val="21"/>
                      <w:szCs w:val="21"/>
                      <w:highlight w:val="white"/>
                      <w:rtl w:val="0"/>
                    </w:rPr>
                    <w:t xml:space="preserve">R.Navarro/J.Silva/J. Yang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360" w:lineRule="auto"/>
                    <w:ind w:left="0" w:firstLine="0"/>
                    <w:rPr>
                      <w:sz w:val="24"/>
                      <w:szCs w:val="24"/>
                    </w:rPr>
                  </w:pPr>
                  <w:r w:rsidDel="00000000" w:rsidR="00000000" w:rsidRPr="00000000">
                    <w:rPr>
                      <w:sz w:val="24"/>
                      <w:szCs w:val="24"/>
                      <w:rtl w:val="0"/>
                    </w:rPr>
                    <w:t xml:space="preserve">SS&amp;E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360" w:lineRule="auto"/>
                    <w:rPr>
                      <w:sz w:val="24"/>
                      <w:szCs w:val="24"/>
                    </w:rPr>
                  </w:pPr>
                  <w:r w:rsidDel="00000000" w:rsidR="00000000" w:rsidRPr="00000000">
                    <w:rPr>
                      <w:sz w:val="24"/>
                      <w:szCs w:val="24"/>
                      <w:rtl w:val="0"/>
                    </w:rPr>
                    <w:t xml:space="preserve">K.Macias/</w:t>
                  </w:r>
                </w:p>
                <w:p w:rsidR="00000000" w:rsidDel="00000000" w:rsidP="00000000" w:rsidRDefault="00000000" w:rsidRPr="00000000" w14:paraId="0000006A">
                  <w:pPr>
                    <w:spacing w:after="0" w:line="360" w:lineRule="auto"/>
                    <w:rPr>
                      <w:sz w:val="26"/>
                      <w:szCs w:val="26"/>
                    </w:rPr>
                  </w:pPr>
                  <w:r w:rsidDel="00000000" w:rsidR="00000000" w:rsidRPr="00000000">
                    <w:rPr>
                      <w:sz w:val="24"/>
                      <w:szCs w:val="24"/>
                      <w:rtl w:val="0"/>
                    </w:rPr>
                    <w:t xml:space="preserve">S.Shamasha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line="240" w:lineRule="auto"/>
                    <w:ind w:left="0" w:firstLine="0"/>
                    <w:rPr>
                      <w:sz w:val="24"/>
                      <w:szCs w:val="24"/>
                    </w:rPr>
                  </w:pPr>
                  <w:r w:rsidDel="00000000" w:rsidR="00000000" w:rsidRPr="00000000">
                    <w:rPr>
                      <w:sz w:val="24"/>
                      <w:szCs w:val="24"/>
                      <w:rtl w:val="0"/>
                    </w:rPr>
                    <w:t xml:space="preserve">Classifies Staffing Prioritization Committee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360" w:lineRule="auto"/>
                    <w:rPr>
                      <w:sz w:val="24"/>
                      <w:szCs w:val="24"/>
                    </w:rPr>
                  </w:pPr>
                  <w:r w:rsidDel="00000000" w:rsidR="00000000" w:rsidRPr="00000000">
                    <w:rPr>
                      <w:sz w:val="24"/>
                      <w:szCs w:val="24"/>
                      <w:rtl w:val="0"/>
                    </w:rPr>
                    <w:t xml:space="preserve">N.Ray/D.Vance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360" w:lineRule="auto"/>
                    <w:ind w:left="0" w:firstLine="0"/>
                    <w:rPr>
                      <w:sz w:val="24"/>
                      <w:szCs w:val="24"/>
                    </w:rPr>
                  </w:pPr>
                  <w:r w:rsidDel="00000000" w:rsidR="00000000" w:rsidRPr="00000000">
                    <w:rPr>
                      <w:sz w:val="24"/>
                      <w:szCs w:val="24"/>
                      <w:rtl w:val="0"/>
                    </w:rPr>
                    <w:t xml:space="preserve">Technology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240" w:lineRule="auto"/>
                    <w:rPr>
                      <w:sz w:val="26"/>
                      <w:szCs w:val="26"/>
                    </w:rPr>
                  </w:pPr>
                  <w:r w:rsidDel="00000000" w:rsidR="00000000" w:rsidRPr="00000000">
                    <w:rPr>
                      <w:sz w:val="24"/>
                      <w:szCs w:val="24"/>
                      <w:rtl w:val="0"/>
                    </w:rPr>
                    <w:t xml:space="preserve">J.Czworkowski/ L.Parello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276" w:lineRule="auto"/>
              <w:ind w:left="0" w:right="0" w:firstLine="0"/>
              <w:jc w:val="left"/>
              <w:rPr>
                <w:b w:val="1"/>
                <w:color w:val="38761d"/>
                <w:sz w:val="24"/>
                <w:szCs w:val="24"/>
              </w:rPr>
            </w:pPr>
            <w:r w:rsidDel="00000000" w:rsidR="00000000" w:rsidRPr="00000000">
              <w:rPr>
                <w:sz w:val="24"/>
                <w:szCs w:val="24"/>
                <w:rtl w:val="0"/>
              </w:rPr>
              <w:t xml:space="preserve">9</w:t>
            </w:r>
            <w:r w:rsidDel="00000000" w:rsidR="00000000" w:rsidRPr="00000000">
              <w:rPr>
                <w:sz w:val="24"/>
                <w:szCs w:val="24"/>
                <w:rtl w:val="0"/>
              </w:rPr>
              <w:t xml:space="preserve">.  </w:t>
            </w:r>
            <w:r w:rsidDel="00000000" w:rsidR="00000000" w:rsidRPr="00000000">
              <w:rPr>
                <w:b w:val="1"/>
                <w:color w:val="38761d"/>
                <w:sz w:val="24"/>
                <w:szCs w:val="24"/>
                <w:rtl w:val="0"/>
              </w:rPr>
              <w:t xml:space="preserve">Action Items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b w:val="1"/>
                <w:color w:val="38761d"/>
                <w:sz w:val="24"/>
                <w:szCs w:val="24"/>
                <w:rtl w:val="0"/>
              </w:rPr>
              <w:t xml:space="preserve"> </w:t>
            </w:r>
            <w:r w:rsidDel="00000000" w:rsidR="00000000" w:rsidRPr="00000000">
              <w:rPr>
                <w:sz w:val="24"/>
                <w:szCs w:val="24"/>
                <w:rtl w:val="0"/>
              </w:rPr>
              <w:t xml:space="preserve">       9.1 Faculty Protocol: </w:t>
            </w:r>
            <w:r w:rsidDel="00000000" w:rsidR="00000000" w:rsidRPr="00000000">
              <w:rPr>
                <w:sz w:val="24"/>
                <w:szCs w:val="24"/>
                <w:rtl w:val="0"/>
              </w:rPr>
              <w:t xml:space="preserve">Responding to Social Media Harassment and Threats Targeting Faculty on Academic Freedom</w:t>
            </w:r>
          </w:p>
          <w:p w:rsidR="00000000" w:rsidDel="00000000" w:rsidP="00000000" w:rsidRDefault="00000000" w:rsidRPr="00000000" w14:paraId="00000078">
            <w:pPr>
              <w:tabs>
                <w:tab w:val="left" w:leader="none" w:pos="972"/>
              </w:tabs>
              <w:spacing w:line="360" w:lineRule="auto"/>
              <w:rPr>
                <w:sz w:val="24"/>
                <w:szCs w:val="24"/>
              </w:rPr>
            </w:pPr>
            <w:r w:rsidDel="00000000" w:rsidR="00000000" w:rsidRPr="00000000">
              <w:rPr>
                <w:sz w:val="24"/>
                <w:szCs w:val="24"/>
                <w:rtl w:val="0"/>
              </w:rPr>
              <w:t xml:space="preserve">        9.2 Academic Senate One-Year Vision:</w:t>
            </w:r>
          </w:p>
          <w:p w:rsidR="00000000" w:rsidDel="00000000" w:rsidP="00000000" w:rsidRDefault="00000000" w:rsidRPr="00000000" w14:paraId="00000079">
            <w:pPr>
              <w:spacing w:line="360" w:lineRule="auto"/>
              <w:ind w:left="1080" w:firstLine="0"/>
              <w:rPr>
                <w:sz w:val="24"/>
                <w:szCs w:val="24"/>
              </w:rPr>
            </w:pPr>
            <w:r w:rsidDel="00000000" w:rsidR="00000000" w:rsidRPr="00000000">
              <w:rPr>
                <w:i w:val="1"/>
                <w:sz w:val="24"/>
                <w:szCs w:val="24"/>
                <w:rtl w:val="0"/>
              </w:rPr>
              <w:t xml:space="preserve">Statement of the year’s vision:  fostering strong faculty voices, meaningful collaboration, responsive governance, and student-centered excellence.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276" w:lineRule="auto"/>
              <w:ind w:left="0" w:right="0" w:firstLine="0"/>
              <w:jc w:val="left"/>
              <w:rPr>
                <w:b w:val="1"/>
                <w:color w:val="38761d"/>
                <w:sz w:val="24"/>
                <w:szCs w:val="24"/>
              </w:rPr>
            </w:pPr>
            <w:r w:rsidDel="00000000" w:rsidR="00000000" w:rsidRPr="00000000">
              <w:rPr>
                <w:sz w:val="24"/>
                <w:szCs w:val="24"/>
                <w:rtl w:val="0"/>
              </w:rPr>
              <w:t xml:space="preserve">10</w:t>
            </w:r>
            <w:r w:rsidDel="00000000" w:rsidR="00000000" w:rsidRPr="00000000">
              <w:rPr>
                <w:b w:val="1"/>
                <w:color w:val="38761d"/>
                <w:sz w:val="24"/>
                <w:szCs w:val="24"/>
                <w:rtl w:val="0"/>
              </w:rPr>
              <w:t xml:space="preserve">.  Vice-President’s Report/Unfinished Business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10.1 Participatory Governance (open active recruitments)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10.2 Senators (Updating dept/division reps)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200" w:line="360" w:lineRule="auto"/>
              <w:ind w:left="0" w:right="0" w:firstLine="0"/>
              <w:jc w:val="left"/>
              <w:rPr>
                <w:b w:val="1"/>
                <w:color w:val="38761d"/>
                <w:sz w:val="24"/>
                <w:szCs w:val="24"/>
              </w:rPr>
            </w:pPr>
            <w:r w:rsidDel="00000000" w:rsidR="00000000" w:rsidRPr="00000000">
              <w:rPr>
                <w:sz w:val="24"/>
                <w:szCs w:val="24"/>
                <w:rtl w:val="0"/>
              </w:rPr>
              <w:t xml:space="preserve"> 11</w:t>
            </w:r>
            <w:r w:rsidDel="00000000" w:rsidR="00000000" w:rsidRPr="00000000">
              <w:rPr>
                <w:b w:val="1"/>
                <w:color w:val="38761d"/>
                <w:sz w:val="24"/>
                <w:szCs w:val="24"/>
                <w:rtl w:val="0"/>
              </w:rPr>
              <w:t xml:space="preserve">. </w:t>
            </w:r>
            <w:r w:rsidDel="00000000" w:rsidR="00000000" w:rsidRPr="00000000">
              <w:rPr>
                <w:b w:val="1"/>
                <w:color w:val="38761d"/>
                <w:sz w:val="24"/>
                <w:szCs w:val="24"/>
                <w:rtl w:val="0"/>
              </w:rPr>
              <w:t xml:space="preserve">Future Agenda Items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11.1 Board of Trustees Follow-up Requests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11.2 Evan Wiring &amp; Michael Stewart-CPL</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11.3 New/Newer Employee Welcome Reception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2"/>
              </w:tabs>
              <w:spacing w:after="0" w:before="0" w:line="360" w:lineRule="auto"/>
              <w:ind w:left="0" w:right="0" w:firstLine="0"/>
              <w:jc w:val="left"/>
              <w:rPr>
                <w:sz w:val="24"/>
                <w:szCs w:val="24"/>
              </w:rPr>
            </w:pPr>
            <w:r w:rsidDel="00000000" w:rsidR="00000000" w:rsidRPr="00000000">
              <w:rPr>
                <w:sz w:val="24"/>
                <w:szCs w:val="24"/>
                <w:rtl w:val="0"/>
              </w:rPr>
              <w:t xml:space="preserve">        11.4 Robert Henry-History Department (Narrative &amp; Remembrance)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w:t>
            </w:r>
            <w:r w:rsidDel="00000000" w:rsidR="00000000" w:rsidRPr="00000000">
              <w:rPr>
                <w:b w:val="1"/>
                <w:color w:val="38761d"/>
                <w:sz w:val="24"/>
                <w:szCs w:val="24"/>
                <w:rtl w:val="0"/>
              </w:rPr>
              <w:t xml:space="preserve"> </w:t>
            </w:r>
            <w:r w:rsidDel="00000000" w:rsidR="00000000" w:rsidRPr="00000000">
              <w:rPr>
                <w:b w:val="1"/>
                <w:i w:val="0"/>
                <w:smallCaps w:val="0"/>
                <w:strike w:val="0"/>
                <w:color w:val="38761d"/>
                <w:sz w:val="24"/>
                <w:szCs w:val="24"/>
                <w:u w:val="none"/>
                <w:shd w:fill="auto" w:val="clear"/>
                <w:vertAlign w:val="baseline"/>
                <w:rtl w:val="0"/>
              </w:rPr>
              <w:t xml:space="preserve">Adjournment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Next meeting </w:t>
            </w:r>
            <w:r w:rsidDel="00000000" w:rsidR="00000000" w:rsidRPr="00000000">
              <w:rPr>
                <w:sz w:val="24"/>
                <w:szCs w:val="24"/>
                <w:rtl w:val="0"/>
              </w:rPr>
              <w:t xml:space="preserve">11/17/25</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sectPr>
      <w:headerReference r:id="rId13" w:type="default"/>
      <w:footerReference r:id="rId14" w:type="default"/>
      <w:pgSz w:h="15840" w:w="12240" w:orient="portrait"/>
      <w:pgMar w:bottom="144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Style w:val="Subtitle"/>
      <w:rPr>
        <w:rFonts w:ascii="Calibri" w:cs="Calibri" w:eastAsia="Calibri" w:hAnsi="Calibri"/>
        <w:sz w:val="22"/>
        <w:szCs w:val="22"/>
      </w:rPr>
    </w:pPr>
    <w:hyperlink r:id="rId1">
      <w:r w:rsidDel="00000000" w:rsidR="00000000" w:rsidRPr="00000000">
        <w:rPr>
          <w:rFonts w:ascii="Calibri" w:cs="Calibri" w:eastAsia="Calibri" w:hAnsi="Calibri"/>
          <w:color w:val="0000ff"/>
          <w:sz w:val="22"/>
          <w:szCs w:val="22"/>
          <w:u w:val="single"/>
          <w:rtl w:val="0"/>
        </w:rPr>
        <w:t xml:space="preserve">https://www.grossmont.edu/faculty-staff/academic-senate/index.php</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Senate for California Community Colleges: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http://www.asccc.org</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tabs>
        <w:tab w:val="center" w:leader="none" w:pos="4680"/>
        <w:tab w:val="right" w:leader="none" w:pos="9360"/>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i w:val="0"/>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8.3.1"/>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0" w:line="240" w:lineRule="auto"/>
      <w:jc w:val="center"/>
    </w:pPr>
    <w:rPr>
      <w:rFonts w:ascii="Tahoma" w:cs="Tahoma" w:eastAsia="Tahoma" w:hAnsi="Tahoma"/>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r4SLF9tXgZ3iR3DRa8Nr2cYIsPKr3E0/view?usp=drive_link" TargetMode="External"/><Relationship Id="rId10" Type="http://schemas.openxmlformats.org/officeDocument/2006/relationships/hyperlink" Target="https://docs.google.com/document/d/10gpIHLOYg2A3gpzT23YxEs1o5CFK4CTM/edit?usp=drive_link&amp;ouid=107222630247555943342&amp;rtpof=true&amp;sd=true" TargetMode="External"/><Relationship Id="rId13" Type="http://schemas.openxmlformats.org/officeDocument/2006/relationships/header" Target="header1.xml"/><Relationship Id="rId12" Type="http://schemas.openxmlformats.org/officeDocument/2006/relationships/hyperlink" Target="https://docs.google.com/document/d/1Br8w-Wa-dAtTmcUJUBwE8RX2ZVQBUW95/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or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drive.google.com/drive/folders/1dU6pE1R81DlxK7WhvMlAmygwUVMiGWUo?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Tahoma-regular.ttf"/><Relationship Id="rId6"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s://www.grossmont.edu/faculty-staff/academic-senate/index.php" TargetMode="External"/><Relationship Id="rId2" Type="http://schemas.openxmlformats.org/officeDocument/2006/relationships/hyperlink" Target="http://www.as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295739410</vt:lpwstr>
  </property>
  <property fmtid="{D5CDD505-2E9C-101B-9397-08002B2CF9AE}" pid="3" name="ContentTypeId">
    <vt:lpwstr>0x010100FA26C92F02D2D8428DF36BA65637B02C</vt:lpwstr>
  </property>
</Properties>
</file>