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0958" w:type="dxa"/>
        <w:tblInd w:w="-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2"/>
        <w:gridCol w:w="8216"/>
      </w:tblGrid>
      <w:tr w:rsidR="00BB4367" w14:paraId="5F278DD0" w14:textId="77777777">
        <w:trPr>
          <w:trHeight w:val="11853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F0EEE4"/>
          </w:tcPr>
          <w:p w14:paraId="5A3D8BF8" w14:textId="77777777" w:rsidR="00BB4367" w:rsidRDefault="003F2F6D">
            <w:pPr>
              <w:spacing w:after="160" w:line="276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10+1</w:t>
            </w:r>
          </w:p>
          <w:p w14:paraId="062F8E53" w14:textId="77777777" w:rsidR="00BB4367" w:rsidRDefault="003F2F6D">
            <w:pPr>
              <w:spacing w:after="160" w:line="276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California Code of Regulations, Section 53200(c)</w:t>
            </w:r>
          </w:p>
          <w:p w14:paraId="6973C8D6" w14:textId="77777777" w:rsidR="00BB4367" w:rsidRDefault="003F2F6D">
            <w:pPr>
              <w:spacing w:after="160" w:line="276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"Academic and professional matters" means the following policy development and implementation matters:</w:t>
            </w:r>
          </w:p>
          <w:p w14:paraId="19ECACE9" w14:textId="77777777" w:rsidR="00BB4367" w:rsidRDefault="003F2F6D">
            <w:pPr>
              <w:spacing w:after="160" w:line="276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(1) *curriculum, including establishing prerequisites and placing courses within disciplines;</w:t>
            </w:r>
          </w:p>
          <w:p w14:paraId="27B22117" w14:textId="77777777" w:rsidR="00BB4367" w:rsidRDefault="003F2F6D">
            <w:pPr>
              <w:spacing w:after="160" w:line="276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(2) *degree and certificate requirements;</w:t>
            </w:r>
          </w:p>
          <w:p w14:paraId="77AC3CE7" w14:textId="77777777" w:rsidR="00BB4367" w:rsidRDefault="003F2F6D">
            <w:pPr>
              <w:spacing w:after="160" w:line="276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(3) *grading p</w:t>
            </w:r>
            <w:r>
              <w:rPr>
                <w:i/>
                <w:sz w:val="16"/>
                <w:szCs w:val="16"/>
              </w:rPr>
              <w:t>olicies;</w:t>
            </w:r>
          </w:p>
          <w:p w14:paraId="25A96A0C" w14:textId="77777777" w:rsidR="00BB4367" w:rsidRDefault="003F2F6D">
            <w:pPr>
              <w:spacing w:after="160" w:line="276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(4) **educational program development;</w:t>
            </w:r>
          </w:p>
          <w:p w14:paraId="6F561936" w14:textId="77777777" w:rsidR="00BB4367" w:rsidRDefault="003F2F6D">
            <w:pPr>
              <w:spacing w:after="160" w:line="276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(5) *standards or policies regarding student preparation and success;</w:t>
            </w:r>
          </w:p>
          <w:p w14:paraId="55121810" w14:textId="77777777" w:rsidR="00BB4367" w:rsidRDefault="003F2F6D">
            <w:pPr>
              <w:spacing w:after="160" w:line="276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(6) **district and college governance structures, as related to faculty roles;</w:t>
            </w:r>
          </w:p>
          <w:p w14:paraId="323209EF" w14:textId="77777777" w:rsidR="00BB4367" w:rsidRDefault="003F2F6D">
            <w:pPr>
              <w:spacing w:after="160" w:line="276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(7) *faculty roles and involvement in accreditation pro</w:t>
            </w:r>
            <w:r>
              <w:rPr>
                <w:i/>
                <w:sz w:val="16"/>
                <w:szCs w:val="16"/>
              </w:rPr>
              <w:t>cesses, including self-study and annual reports;</w:t>
            </w:r>
          </w:p>
          <w:p w14:paraId="44B3F3C9" w14:textId="77777777" w:rsidR="00BB4367" w:rsidRDefault="003F2F6D">
            <w:pPr>
              <w:spacing w:after="160" w:line="276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(8) *policies for faculty professional development activities;</w:t>
            </w:r>
          </w:p>
          <w:p w14:paraId="469C3751" w14:textId="77777777" w:rsidR="00BB4367" w:rsidRDefault="003F2F6D">
            <w:pPr>
              <w:spacing w:after="160" w:line="276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(9) **processes for program review;</w:t>
            </w:r>
          </w:p>
          <w:p w14:paraId="7202FB56" w14:textId="77777777" w:rsidR="00BB4367" w:rsidRDefault="003F2F6D">
            <w:pPr>
              <w:spacing w:after="160" w:line="276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(10) **processes for institutional planning and budget development; and</w:t>
            </w:r>
          </w:p>
          <w:p w14:paraId="7770F512" w14:textId="77777777" w:rsidR="00BB4367" w:rsidRDefault="003F2F6D">
            <w:pPr>
              <w:spacing w:after="160" w:line="276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(11) **other academic and profes</w:t>
            </w:r>
            <w:r>
              <w:rPr>
                <w:i/>
                <w:sz w:val="16"/>
                <w:szCs w:val="16"/>
              </w:rPr>
              <w:t>sional matters as are mutually agreed upon between the governing board and the academic senate</w:t>
            </w:r>
          </w:p>
          <w:p w14:paraId="4376A3DB" w14:textId="77777777" w:rsidR="00BB4367" w:rsidRDefault="003F2F6D">
            <w:pPr>
              <w:spacing w:after="160" w:line="276" w:lineRule="auto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6"/>
                <w:szCs w:val="16"/>
              </w:rPr>
              <w:t>PROCESSES FOR</w:t>
            </w:r>
            <w:r>
              <w:rPr>
                <w:b/>
                <w:i/>
                <w:sz w:val="16"/>
                <w:szCs w:val="16"/>
              </w:rPr>
              <w:br/>
              <w:t>COLLEGIAL CONSULTATION</w:t>
            </w:r>
            <w:r>
              <w:rPr>
                <w:b/>
                <w:i/>
                <w:sz w:val="16"/>
                <w:szCs w:val="16"/>
              </w:rPr>
              <w:br/>
            </w:r>
            <w:r>
              <w:rPr>
                <w:b/>
                <w:i/>
                <w:sz w:val="12"/>
                <w:szCs w:val="12"/>
              </w:rPr>
              <w:t>(5 CCR 53200(d) &amp; GCCCD AP 2510)</w:t>
            </w:r>
          </w:p>
          <w:p w14:paraId="3978ED30" w14:textId="77777777" w:rsidR="00BB4367" w:rsidRDefault="003F2F6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*The Board will Rely Primarily Upon the Academic Senate</w:t>
            </w:r>
          </w:p>
          <w:p w14:paraId="6F30221A" w14:textId="77777777" w:rsidR="00BB4367" w:rsidRDefault="003F2F6D">
            <w:pPr>
              <w:rPr>
                <w:i/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**The Board will seek Mutual Agreem</w:t>
            </w:r>
            <w:r>
              <w:rPr>
                <w:i/>
                <w:sz w:val="16"/>
                <w:szCs w:val="16"/>
              </w:rPr>
              <w:t>ent with the Academic Senate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14:paraId="24992D38" w14:textId="77777777" w:rsidR="00BB4367" w:rsidRDefault="00BB43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36874DE" w14:textId="77777777" w:rsidR="00BB4367" w:rsidRDefault="003F2F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Monday, May 19, 2025</w:t>
            </w:r>
            <w:r>
              <w:rPr>
                <w:b/>
                <w:sz w:val="24"/>
                <w:szCs w:val="24"/>
              </w:rPr>
              <w:br/>
              <w:t>11:00 am–12:20 pm</w:t>
            </w:r>
            <w:r>
              <w:rPr>
                <w:b/>
                <w:sz w:val="24"/>
                <w:szCs w:val="24"/>
              </w:rPr>
              <w:br/>
              <w:t>Griffin Gate</w:t>
            </w:r>
          </w:p>
          <w:bookmarkStart w:id="0" w:name="_heading=h.gjdgxs" w:colFirst="0" w:colLast="0"/>
          <w:bookmarkEnd w:id="0"/>
          <w:p w14:paraId="795832F9" w14:textId="77777777" w:rsidR="00BB4367" w:rsidRDefault="003F2F6D">
            <w:pPr>
              <w:spacing w:after="200" w:line="276" w:lineRule="auto"/>
              <w:jc w:val="center"/>
              <w:rPr>
                <w:color w:val="1155CC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"https://drive.google.com/drive/folders/1gt7G5uTz6EXFUz2wKGeOH9uWXyEtnoqb" \h </w:instrText>
            </w:r>
            <w:r>
              <w:fldChar w:fldCharType="separate"/>
            </w:r>
            <w:r>
              <w:rPr>
                <w:color w:val="1155CC"/>
                <w:sz w:val="20"/>
                <w:szCs w:val="20"/>
                <w:u w:val="single"/>
              </w:rPr>
              <w:t>ATTACHME</w:t>
            </w:r>
            <w:r>
              <w:rPr>
                <w:color w:val="1155CC"/>
                <w:sz w:val="20"/>
                <w:szCs w:val="20"/>
                <w:u w:val="single"/>
              </w:rPr>
              <w:t>NTS</w:t>
            </w:r>
            <w:r>
              <w:rPr>
                <w:color w:val="1155CC"/>
                <w:sz w:val="20"/>
                <w:szCs w:val="20"/>
                <w:u w:val="single"/>
              </w:rPr>
              <w:fldChar w:fldCharType="end"/>
            </w:r>
          </w:p>
          <w:p w14:paraId="47A881DA" w14:textId="77777777" w:rsidR="00BB4367" w:rsidRDefault="00BB436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14:paraId="268A6ABA" w14:textId="77777777" w:rsidR="00BB4367" w:rsidRDefault="003F2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Call to </w:t>
            </w:r>
            <w:proofErr w:type="gramStart"/>
            <w:r>
              <w:rPr>
                <w:color w:val="000000"/>
                <w:sz w:val="20"/>
                <w:szCs w:val="20"/>
              </w:rPr>
              <w:t>Order  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11:00 am</w:t>
            </w:r>
          </w:p>
          <w:p w14:paraId="272D35F1" w14:textId="77777777" w:rsidR="00BB4367" w:rsidRDefault="003F2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Public Comment – </w:t>
            </w:r>
            <w:r>
              <w:rPr>
                <w:i/>
                <w:color w:val="000000"/>
                <w:sz w:val="20"/>
                <w:szCs w:val="20"/>
              </w:rPr>
              <w:t>Each speaker will be given a maximum of 4 minutes to address the senate about a non-agendized item or items, with a maximum of 15 minutes allowed for all public comment. The senate may vote to extend public comment at any meeting. Please contact the Academ</w:t>
            </w:r>
            <w:r>
              <w:rPr>
                <w:i/>
                <w:color w:val="000000"/>
                <w:sz w:val="20"/>
                <w:szCs w:val="20"/>
              </w:rPr>
              <w:t xml:space="preserve">ic Senate at </w:t>
            </w:r>
            <w:r>
              <w:rPr>
                <w:i/>
                <w:color w:val="1155CD"/>
                <w:sz w:val="20"/>
                <w:szCs w:val="20"/>
              </w:rPr>
              <w:t xml:space="preserve">GCAcademicSenate@gcccd.edu </w:t>
            </w:r>
            <w:r>
              <w:rPr>
                <w:i/>
                <w:color w:val="000000"/>
                <w:sz w:val="20"/>
                <w:szCs w:val="20"/>
              </w:rPr>
              <w:t xml:space="preserve">before 9:00 am on the day of the meeting when wishing to speak at public comment. The senate welcomes all speakers to participate in the discussion on agendized items. </w:t>
            </w:r>
          </w:p>
          <w:p w14:paraId="0C7B2643" w14:textId="77777777" w:rsidR="00BB4367" w:rsidRDefault="003F2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Approval of Minutes from 5/5/2025             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color w:val="000000"/>
                <w:sz w:val="20"/>
                <w:szCs w:val="20"/>
              </w:rPr>
              <w:tab/>
              <w:t xml:space="preserve">  (</w:t>
            </w:r>
            <w:proofErr w:type="gramEnd"/>
            <w:r>
              <w:rPr>
                <w:color w:val="000000"/>
                <w:sz w:val="20"/>
                <w:szCs w:val="20"/>
              </w:rPr>
              <w:t>2 min)</w:t>
            </w:r>
          </w:p>
          <w:p w14:paraId="6B77854B" w14:textId="77777777" w:rsidR="00BB4367" w:rsidRDefault="003F2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Approval of Agenda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ab/>
              <w:t xml:space="preserve">  (</w:t>
            </w:r>
            <w:proofErr w:type="gramEnd"/>
            <w:r>
              <w:rPr>
                <w:color w:val="000000"/>
                <w:sz w:val="20"/>
                <w:szCs w:val="20"/>
              </w:rPr>
              <w:t>2 min)</w:t>
            </w:r>
          </w:p>
          <w:p w14:paraId="63418DD9" w14:textId="77777777" w:rsidR="00BB4367" w:rsidRDefault="003F2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President’s Report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color w:val="000000"/>
                <w:sz w:val="20"/>
                <w:szCs w:val="20"/>
              </w:rPr>
              <w:t>10 min)</w:t>
            </w:r>
          </w:p>
          <w:p w14:paraId="64EBA48F" w14:textId="77777777" w:rsidR="00BB4367" w:rsidRDefault="003F2F6D">
            <w:pPr>
              <w:numPr>
                <w:ilvl w:val="1"/>
                <w:numId w:val="1"/>
              </w:numPr>
              <w:tabs>
                <w:tab w:val="left" w:pos="972"/>
              </w:tabs>
              <w:spacing w:line="3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Election Committee - Senate Officer Results - </w:t>
            </w:r>
            <w:r>
              <w:rPr>
                <w:i/>
                <w:sz w:val="20"/>
                <w:szCs w:val="20"/>
              </w:rPr>
              <w:t>J. Calo</w:t>
            </w:r>
            <w:r>
              <w:rPr>
                <w:sz w:val="20"/>
                <w:szCs w:val="20"/>
              </w:rPr>
              <w:t xml:space="preserve">                                                  </w:t>
            </w:r>
          </w:p>
          <w:p w14:paraId="3F14DCEA" w14:textId="77777777" w:rsidR="00BB4367" w:rsidRDefault="003F2F6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AAC&amp;U Resolution - Vote                 </w:t>
            </w:r>
          </w:p>
          <w:p w14:paraId="0436A5DC" w14:textId="5A83BC14" w:rsidR="001062EB" w:rsidRPr="001062EB" w:rsidRDefault="001062E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Reimagining Campus Safety Task Force</w:t>
            </w:r>
          </w:p>
          <w:p w14:paraId="1E6BC41E" w14:textId="013C555E" w:rsidR="00BB4367" w:rsidRDefault="001062E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Other</w:t>
            </w:r>
            <w:r w:rsidR="003F2F6D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  <w:p w14:paraId="274F74D6" w14:textId="77777777" w:rsidR="00BB4367" w:rsidRDefault="003F2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2"/>
              </w:tabs>
              <w:spacing w:line="3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Unfinished Business </w:t>
            </w:r>
          </w:p>
          <w:p w14:paraId="2E420997" w14:textId="77777777" w:rsidR="00BB4367" w:rsidRDefault="003F2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2"/>
              </w:tabs>
              <w:spacing w:line="3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New Business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14:paraId="3676A326" w14:textId="77777777" w:rsidR="00BB4367" w:rsidRDefault="003F2F6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2"/>
              </w:tabs>
              <w:spacing w:line="3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Participatory Governance Committees </w:t>
            </w:r>
          </w:p>
          <w:p w14:paraId="005DB29D" w14:textId="77777777" w:rsidR="00BB4367" w:rsidRDefault="003F2F6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2"/>
              </w:tabs>
              <w:spacing w:line="3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Academic Senate Committees  </w:t>
            </w:r>
          </w:p>
          <w:p w14:paraId="2599E14A" w14:textId="77777777" w:rsidR="00BB4367" w:rsidRDefault="003F2F6D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2"/>
              </w:tabs>
              <w:spacing w:line="3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Curriculum Committee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proofErr w:type="gramStart"/>
            <w:r>
              <w:rPr>
                <w:sz w:val="20"/>
                <w:szCs w:val="20"/>
              </w:rPr>
              <w:tab/>
              <w:t xml:space="preserve">  (</w:t>
            </w:r>
            <w:proofErr w:type="gramEnd"/>
            <w:r>
              <w:rPr>
                <w:sz w:val="20"/>
                <w:szCs w:val="20"/>
              </w:rPr>
              <w:t>10 min)</w:t>
            </w:r>
          </w:p>
          <w:p w14:paraId="1B64ACD4" w14:textId="70A14781" w:rsidR="00BB4367" w:rsidRDefault="003F2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2"/>
              </w:tabs>
              <w:spacing w:line="324" w:lineRule="auto"/>
              <w:ind w:left="17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 Vote -</w:t>
            </w:r>
            <w:r w:rsidR="001062EB" w:rsidRPr="001062EB">
              <w:rPr>
                <w:i/>
                <w:iCs/>
                <w:sz w:val="20"/>
                <w:szCs w:val="20"/>
              </w:rPr>
              <w:t>D</w:t>
            </w:r>
            <w:r>
              <w:rPr>
                <w:i/>
                <w:sz w:val="20"/>
                <w:szCs w:val="20"/>
              </w:rPr>
              <w:t>. Aceves/S. Sampson</w:t>
            </w:r>
          </w:p>
          <w:p w14:paraId="0046F3D2" w14:textId="3BD6D995" w:rsidR="00BB4367" w:rsidRDefault="003F2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2"/>
              </w:tabs>
              <w:spacing w:line="324" w:lineRule="auto"/>
              <w:ind w:left="17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CPL AP</w:t>
            </w:r>
            <w:r w:rsidR="001062EB">
              <w:rPr>
                <w:sz w:val="20"/>
                <w:szCs w:val="20"/>
              </w:rPr>
              <w:t xml:space="preserve"> 4235</w:t>
            </w:r>
            <w:r>
              <w:rPr>
                <w:sz w:val="20"/>
                <w:szCs w:val="20"/>
              </w:rPr>
              <w:t>-</w:t>
            </w:r>
            <w:r w:rsidR="001062EB" w:rsidRPr="001062EB">
              <w:rPr>
                <w:i/>
                <w:iCs/>
                <w:sz w:val="20"/>
                <w:szCs w:val="20"/>
              </w:rPr>
              <w:t>D</w:t>
            </w:r>
            <w:r>
              <w:rPr>
                <w:i/>
                <w:sz w:val="20"/>
                <w:szCs w:val="20"/>
              </w:rPr>
              <w:t>. Aceves/S. Sampson</w:t>
            </w:r>
            <w:r>
              <w:rPr>
                <w:sz w:val="20"/>
                <w:szCs w:val="20"/>
              </w:rPr>
              <w:t xml:space="preserve">     </w:t>
            </w:r>
          </w:p>
          <w:p w14:paraId="3D04789C" w14:textId="02A39E57" w:rsidR="00BB4367" w:rsidRDefault="003F2F6D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2"/>
              </w:tabs>
              <w:spacing w:line="3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JEDI Resolution Vote -</w:t>
            </w:r>
            <w:r>
              <w:rPr>
                <w:i/>
                <w:sz w:val="20"/>
                <w:szCs w:val="20"/>
              </w:rPr>
              <w:t xml:space="preserve">S. Davis          </w:t>
            </w:r>
            <w:r>
              <w:rPr>
                <w:i/>
                <w:sz w:val="20"/>
                <w:szCs w:val="20"/>
              </w:rPr>
              <w:t xml:space="preserve">                                                                    </w:t>
            </w:r>
            <w:proofErr w:type="gramStart"/>
            <w:r>
              <w:rPr>
                <w:i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10 min)</w:t>
            </w:r>
          </w:p>
          <w:p w14:paraId="6F93D0C9" w14:textId="77777777" w:rsidR="00BB4367" w:rsidRDefault="003F2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2"/>
              </w:tabs>
              <w:spacing w:line="3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Special Reports</w:t>
            </w:r>
          </w:p>
          <w:p w14:paraId="14BDAEA0" w14:textId="525B72DA" w:rsidR="00BB4367" w:rsidRDefault="003F2F6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2"/>
              </w:tabs>
              <w:spacing w:line="3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 Division R</w:t>
            </w:r>
            <w:r>
              <w:rPr>
                <w:sz w:val="20"/>
                <w:szCs w:val="20"/>
              </w:rPr>
              <w:t xml:space="preserve">esolution - </w:t>
            </w:r>
            <w:r>
              <w:rPr>
                <w:i/>
                <w:sz w:val="20"/>
                <w:szCs w:val="20"/>
              </w:rPr>
              <w:t>Counseling Team</w:t>
            </w:r>
            <w:r>
              <w:rPr>
                <w:sz w:val="20"/>
                <w:szCs w:val="20"/>
              </w:rPr>
              <w:t xml:space="preserve">  </w:t>
            </w:r>
            <w:r w:rsidR="001062EB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       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10 min)</w:t>
            </w:r>
          </w:p>
          <w:p w14:paraId="4BE0F07D" w14:textId="69C8A01F" w:rsidR="00BB4367" w:rsidRDefault="003F2F6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2"/>
              </w:tabs>
              <w:spacing w:line="3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Info</w:t>
            </w:r>
            <w:r>
              <w:rPr>
                <w:sz w:val="20"/>
                <w:szCs w:val="20"/>
              </w:rPr>
              <w:t xml:space="preserve"> Security Requirements-</w:t>
            </w:r>
            <w:r>
              <w:rPr>
                <w:i/>
                <w:sz w:val="20"/>
                <w:szCs w:val="20"/>
              </w:rPr>
              <w:t>K. Kilber</w:t>
            </w:r>
            <w:r w:rsidR="001062EB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Rebman/S. Domingo</w:t>
            </w:r>
            <w:r>
              <w:rPr>
                <w:sz w:val="20"/>
                <w:szCs w:val="20"/>
              </w:rPr>
              <w:t xml:space="preserve">  </w:t>
            </w:r>
            <w:r w:rsidR="001062EB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15 min)</w:t>
            </w:r>
          </w:p>
          <w:p w14:paraId="0F76C660" w14:textId="17D9E3E0" w:rsidR="00BB4367" w:rsidRDefault="003F2F6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2"/>
              </w:tabs>
              <w:spacing w:line="3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Bachelor’s Program Report – </w:t>
            </w:r>
            <w:r>
              <w:rPr>
                <w:i/>
                <w:sz w:val="20"/>
                <w:szCs w:val="20"/>
              </w:rPr>
              <w:t>H. Nguyen/A. Nuzen/P. Bell</w:t>
            </w:r>
            <w:r>
              <w:rPr>
                <w:sz w:val="20"/>
                <w:szCs w:val="20"/>
              </w:rPr>
              <w:t xml:space="preserve">                          </w:t>
            </w:r>
            <w:r>
              <w:rPr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10 min)</w:t>
            </w:r>
          </w:p>
          <w:p w14:paraId="5AA517FB" w14:textId="63B0328B" w:rsidR="00BB4367" w:rsidRDefault="003F2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2"/>
              </w:tabs>
              <w:spacing w:line="3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Passing of the Gavel – </w:t>
            </w:r>
            <w:r>
              <w:rPr>
                <w:i/>
                <w:sz w:val="20"/>
                <w:szCs w:val="20"/>
              </w:rPr>
              <w:t>P. Lopez/S. Sampson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1062EB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5 mi</w:t>
            </w:r>
            <w:r>
              <w:rPr>
                <w:sz w:val="20"/>
                <w:szCs w:val="20"/>
              </w:rPr>
              <w:t>n)</w:t>
            </w:r>
          </w:p>
          <w:p w14:paraId="0A95E07D" w14:textId="77777777" w:rsidR="00BB4367" w:rsidRDefault="003F2F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2"/>
              </w:tabs>
              <w:spacing w:line="3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Next Meeting - August 18, 2025</w:t>
            </w:r>
          </w:p>
          <w:p w14:paraId="76A97CD9" w14:textId="2AC5E5A9" w:rsidR="00BB4367" w:rsidRPr="001062EB" w:rsidRDefault="003F2F6D" w:rsidP="001062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Adjournment – 12:20 pm</w:t>
            </w:r>
          </w:p>
        </w:tc>
      </w:tr>
    </w:tbl>
    <w:p w14:paraId="0B783D82" w14:textId="77777777" w:rsidR="00BB4367" w:rsidRDefault="00BB4367"/>
    <w:sectPr w:rsidR="00BB43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947E7" w14:textId="77777777" w:rsidR="003F2F6D" w:rsidRDefault="003F2F6D">
      <w:pPr>
        <w:spacing w:after="0" w:line="240" w:lineRule="auto"/>
      </w:pPr>
      <w:r>
        <w:separator/>
      </w:r>
    </w:p>
  </w:endnote>
  <w:endnote w:type="continuationSeparator" w:id="0">
    <w:p w14:paraId="72BD045F" w14:textId="77777777" w:rsidR="003F2F6D" w:rsidRDefault="003F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9AC1" w14:textId="77777777" w:rsidR="00BB4367" w:rsidRDefault="00BB43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F327" w14:textId="77777777" w:rsidR="00BB4367" w:rsidRDefault="003F2F6D">
    <w:pPr>
      <w:pStyle w:val="Subtitle"/>
      <w:rPr>
        <w:rFonts w:ascii="Calibri" w:eastAsia="Calibri" w:hAnsi="Calibri" w:cs="Calibri"/>
        <w:sz w:val="22"/>
        <w:szCs w:val="22"/>
      </w:rPr>
    </w:pPr>
    <w:hyperlink r:id="rId1">
      <w:r>
        <w:rPr>
          <w:rFonts w:ascii="Calibri" w:eastAsia="Calibri" w:hAnsi="Calibri" w:cs="Calibri"/>
          <w:color w:val="0000FF"/>
          <w:sz w:val="22"/>
          <w:szCs w:val="22"/>
          <w:u w:val="single"/>
        </w:rPr>
        <w:t>https://www.grossmont.edu/faculty-staff/academic-senate/index.php</w:t>
      </w:r>
    </w:hyperlink>
  </w:p>
  <w:p w14:paraId="23B8F7CF" w14:textId="77777777" w:rsidR="00BB4367" w:rsidRDefault="003F2F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u w:val="single"/>
      </w:rPr>
    </w:pPr>
    <w:r>
      <w:rPr>
        <w:color w:val="000000"/>
      </w:rPr>
      <w:t xml:space="preserve">Academic Senate for California Community Colleges: </w:t>
    </w:r>
    <w:hyperlink r:id="rId2">
      <w:r>
        <w:rPr>
          <w:color w:val="0000FF"/>
          <w:u w:val="single"/>
        </w:rPr>
        <w:t>http://www.asccc</w:t>
      </w:r>
      <w:r>
        <w:rPr>
          <w:color w:val="0000FF"/>
          <w:u w:val="single"/>
        </w:rPr>
        <w:t>.org</w:t>
      </w:r>
    </w:hyperlink>
  </w:p>
  <w:p w14:paraId="0A079579" w14:textId="77777777" w:rsidR="00BB4367" w:rsidRDefault="003F2F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062EB">
      <w:rPr>
        <w:noProof/>
        <w:color w:val="000000"/>
      </w:rPr>
      <w:t>1</w:t>
    </w:r>
    <w:r>
      <w:rPr>
        <w:color w:val="000000"/>
      </w:rPr>
      <w:fldChar w:fldCharType="end"/>
    </w:r>
  </w:p>
  <w:p w14:paraId="5FFDEB31" w14:textId="77777777" w:rsidR="00BB4367" w:rsidRDefault="00BB43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F6F8" w14:textId="77777777" w:rsidR="00BB4367" w:rsidRDefault="00BB43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3D52F" w14:textId="77777777" w:rsidR="003F2F6D" w:rsidRDefault="003F2F6D">
      <w:pPr>
        <w:spacing w:after="0" w:line="240" w:lineRule="auto"/>
      </w:pPr>
      <w:r>
        <w:separator/>
      </w:r>
    </w:p>
  </w:footnote>
  <w:footnote w:type="continuationSeparator" w:id="0">
    <w:p w14:paraId="333A731B" w14:textId="77777777" w:rsidR="003F2F6D" w:rsidRDefault="003F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CC37" w14:textId="77777777" w:rsidR="00BB4367" w:rsidRDefault="00BB43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C681" w14:textId="77777777" w:rsidR="00BB4367" w:rsidRDefault="003F2F6D">
    <w:pPr>
      <w:spacing w:line="240" w:lineRule="auto"/>
      <w:jc w:val="right"/>
      <w:rPr>
        <w:sz w:val="30"/>
        <w:szCs w:val="30"/>
      </w:rPr>
    </w:pPr>
    <w:r>
      <w:rPr>
        <w:b/>
        <w:sz w:val="30"/>
        <w:szCs w:val="30"/>
      </w:rPr>
      <w:t>Grossmont College</w:t>
    </w:r>
    <w:r>
      <w:rPr>
        <w:b/>
        <w:sz w:val="30"/>
        <w:szCs w:val="30"/>
      </w:rPr>
      <w:br/>
      <w:t>Academic Senate Agenda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DDA1F43" wp14:editId="53EE0BD4">
          <wp:simplePos x="0" y="0"/>
          <wp:positionH relativeFrom="column">
            <wp:posOffset>-619113</wp:posOffset>
          </wp:positionH>
          <wp:positionV relativeFrom="paragraph">
            <wp:posOffset>-66664</wp:posOffset>
          </wp:positionV>
          <wp:extent cx="2057400" cy="514350"/>
          <wp:effectExtent l="0" t="0" r="0" b="0"/>
          <wp:wrapSquare wrapText="bothSides" distT="0" distB="0" distL="114300" distR="114300"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16E" w14:textId="77777777" w:rsidR="00BB4367" w:rsidRDefault="00BB43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F3A47"/>
    <w:multiLevelType w:val="multilevel"/>
    <w:tmpl w:val="DF0445CC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8.3.1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367"/>
    <w:rsid w:val="001062EB"/>
    <w:rsid w:val="003F2F6D"/>
    <w:rsid w:val="00B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B4BE5"/>
  <w15:docId w15:val="{D6E78E2D-3B92-4731-B209-FD5A5940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47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ADD"/>
  </w:style>
  <w:style w:type="paragraph" w:styleId="Footer">
    <w:name w:val="footer"/>
    <w:basedOn w:val="Normal"/>
    <w:link w:val="FooterChar"/>
    <w:uiPriority w:val="99"/>
    <w:unhideWhenUsed/>
    <w:rsid w:val="00547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ADD"/>
  </w:style>
  <w:style w:type="paragraph" w:styleId="BalloonText">
    <w:name w:val="Balloon Text"/>
    <w:basedOn w:val="Normal"/>
    <w:link w:val="BalloonTextChar"/>
    <w:uiPriority w:val="99"/>
    <w:semiHidden/>
    <w:unhideWhenUsed/>
    <w:rsid w:val="0054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63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AE9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0" w:line="240" w:lineRule="auto"/>
      <w:jc w:val="center"/>
    </w:pPr>
    <w:rPr>
      <w:rFonts w:ascii="Tahoma" w:eastAsia="Tahoma" w:hAnsi="Tahoma" w:cs="Tahoma"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B335DA"/>
    <w:rPr>
      <w:rFonts w:ascii="Tahoma" w:eastAsia="Calibri" w:hAnsi="Tahoma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335D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547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47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47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4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47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48C6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1C0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0F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E683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70468"/>
    <w:rPr>
      <w:color w:val="605E5C"/>
      <w:shd w:val="clear" w:color="auto" w:fill="E1DFDD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157D5F"/>
    <w:rPr>
      <w:color w:val="605E5C"/>
      <w:shd w:val="clear" w:color="auto" w:fill="E1DFDD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ccc.org" TargetMode="External"/><Relationship Id="rId1" Type="http://schemas.openxmlformats.org/officeDocument/2006/relationships/hyperlink" Target="https://www.grossmont.edu/faculty-staff/academic-senate/index.ph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lafZ7OVuva2OI4Ort89ITkGzMA==">CgMxLjAyCGguZ2pkZ3hzOAByITFtRTZBT0JjbGFveUZVeldSbWg0T1lDTjBwUGZYOTRLXw==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2873</Characters>
  <Application>Microsoft Office Word</Application>
  <DocSecurity>0</DocSecurity>
  <Lines>55</Lines>
  <Paragraphs>22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Perla Lopez</cp:lastModifiedBy>
  <cp:revision>2</cp:revision>
  <dcterms:created xsi:type="dcterms:W3CDTF">2022-08-08T00:42:00Z</dcterms:created>
  <dcterms:modified xsi:type="dcterms:W3CDTF">2025-05-14T22:15:00Z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295739410</vt:lpwstr>
  </property>
  <property fmtid="{D5CDD505-2E9C-101B-9397-08002B2CF9AE}" pid="3" name="ContentTypeId">
    <vt:lpwstr>0x010100FA26C92F02D2D8428DF36BA65637B02C</vt:lpwstr>
  </property>
  <property fmtid="{D5CDD505-2E9C-101B-9397-08002B2CF9AE}" pid="4" name="GrammarlyDocumentId">
    <vt:lpwstr>46f8bb1f-24d4-4fa2-bb82-ab79f70d8a3f</vt:lpwstr>
  </property>
</Properties>
</file>