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40" w:line="240" w:lineRule="auto"/>
        <w:rPr>
          <w:rFonts w:ascii="Calibri" w:cs="Calibri" w:eastAsia="Calibri" w:hAnsi="Calibri"/>
          <w:b w:val="1"/>
          <w:color w:val="2f5496"/>
        </w:rPr>
      </w:pPr>
      <w:bookmarkStart w:colFirst="0" w:colLast="0" w:name="_gjdgxs" w:id="0"/>
      <w:bookmarkEnd w:id="0"/>
      <w:r w:rsidDel="00000000" w:rsidR="00000000" w:rsidRPr="00000000">
        <w:rPr>
          <w:rFonts w:ascii="Calibri" w:cs="Calibri" w:eastAsia="Calibri" w:hAnsi="Calibri"/>
          <w:b w:val="1"/>
          <w:color w:val="2f5496"/>
          <w:rtl w:val="0"/>
        </w:rPr>
        <w:t xml:space="preserve">Online Teaching and Learning Committee</w:t>
      </w:r>
    </w:p>
    <w:p w:rsidR="00000000" w:rsidDel="00000000" w:rsidP="00000000" w:rsidRDefault="00000000" w:rsidRPr="00000000" w14:paraId="00000002">
      <w:pPr>
        <w:rPr/>
      </w:pPr>
      <w:r w:rsidDel="00000000" w:rsidR="00000000" w:rsidRPr="00000000">
        <w:rPr>
          <w:rtl w:val="0"/>
        </w:rPr>
        <w:t xml:space="preserve">(Committee of the Academic Senate)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spacing w:after="0" w:before="40" w:line="240" w:lineRule="auto"/>
        <w:rPr>
          <w:rFonts w:ascii="Times New Roman" w:cs="Times New Roman" w:eastAsia="Times New Roman" w:hAnsi="Times New Roman"/>
          <w:b w:val="1"/>
          <w:color w:val="2f5496"/>
        </w:rPr>
      </w:pPr>
      <w:bookmarkStart w:colFirst="0" w:colLast="0" w:name="_30j0zll" w:id="1"/>
      <w:bookmarkEnd w:id="1"/>
      <w:r w:rsidDel="00000000" w:rsidR="00000000" w:rsidRPr="00000000">
        <w:rPr>
          <w:rFonts w:ascii="Calibri" w:cs="Calibri" w:eastAsia="Calibri" w:hAnsi="Calibri"/>
          <w:b w:val="1"/>
          <w:color w:val="2f5496"/>
          <w:rtl w:val="0"/>
        </w:rPr>
        <w:t xml:space="preserve">Purpose</w:t>
      </w:r>
      <w:r w:rsidDel="00000000" w:rsidR="00000000" w:rsidRPr="00000000">
        <w:rPr>
          <w:rFonts w:ascii="Times New Roman" w:cs="Times New Roman" w:eastAsia="Times New Roman" w:hAnsi="Times New Roman"/>
          <w:b w:val="1"/>
          <w:color w:val="2f5496"/>
          <w:rtl w:val="0"/>
        </w:rPr>
        <w:t xml:space="preserve"> </w:t>
      </w:r>
    </w:p>
    <w:p w:rsidR="00000000" w:rsidDel="00000000" w:rsidP="00000000" w:rsidRDefault="00000000" w:rsidRPr="00000000" w14:paraId="00000005">
      <w:pPr>
        <w:spacing w:after="160" w:line="259" w:lineRule="auto"/>
        <w:ind w:left="450"/>
        <w:rPr>
          <w:sz w:val="24"/>
          <w:szCs w:val="24"/>
        </w:rPr>
      </w:pPr>
      <w:r w:rsidDel="00000000" w:rsidR="00000000" w:rsidRPr="00000000">
        <w:rPr>
          <w:rFonts w:ascii="Calibri" w:cs="Calibri" w:eastAsia="Calibri" w:hAnsi="Calibri"/>
          <w:sz w:val="24"/>
          <w:szCs w:val="24"/>
          <w:rtl w:val="0"/>
        </w:rPr>
        <w:t xml:space="preserve">The Online Teaching and Learning Committee serves as a consultative body on matters of student success, academic policy, course and program develpment, course and instructor evaluation, as well as instructor training as they pertain to online education.  It makes recommendations to the Academic Senate.</w:t>
      </w:r>
      <w:r w:rsidDel="00000000" w:rsidR="00000000" w:rsidRPr="00000000">
        <w:rPr>
          <w:rtl w:val="0"/>
        </w:rPr>
      </w:r>
    </w:p>
    <w:p w:rsidR="00000000" w:rsidDel="00000000" w:rsidP="00000000" w:rsidRDefault="00000000" w:rsidRPr="00000000" w14:paraId="00000006">
      <w:pPr>
        <w:spacing w:after="160" w:line="259" w:lineRule="auto"/>
        <w:ind w:left="450"/>
        <w:rPr>
          <w:rFonts w:ascii="Times New Roman" w:cs="Times New Roman" w:eastAsia="Times New Roman" w:hAnsi="Times New Roman"/>
        </w:rPr>
      </w:pPr>
      <w:r w:rsidDel="00000000" w:rsidR="00000000" w:rsidRPr="00000000">
        <w:rPr>
          <w:rFonts w:ascii="Calibri" w:cs="Calibri" w:eastAsia="Calibri" w:hAnsi="Calibri"/>
          <w:b w:val="1"/>
          <w:rtl w:val="0"/>
        </w:rPr>
        <w:t xml:space="preserve">Responsibilities: </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07">
      <w:pPr>
        <w:numPr>
          <w:ilvl w:val="0"/>
          <w:numId w:val="2"/>
        </w:numPr>
        <w:spacing w:line="259" w:lineRule="auto"/>
        <w:ind w:left="1080" w:hanging="360"/>
        <w:rPr>
          <w:sz w:val="24"/>
          <w:szCs w:val="24"/>
        </w:rPr>
      </w:pPr>
      <w:r w:rsidDel="00000000" w:rsidR="00000000" w:rsidRPr="00000000">
        <w:rPr>
          <w:rFonts w:ascii="Calibri" w:cs="Calibri" w:eastAsia="Calibri" w:hAnsi="Calibri"/>
          <w:sz w:val="24"/>
          <w:szCs w:val="24"/>
          <w:rtl w:val="0"/>
        </w:rPr>
        <w:t xml:space="preserve">Maintain currency in both legal mandates and best practices for online teaching and learning.</w:t>
      </w:r>
      <w:r w:rsidDel="00000000" w:rsidR="00000000" w:rsidRPr="00000000">
        <w:rPr>
          <w:rtl w:val="0"/>
        </w:rPr>
      </w:r>
    </w:p>
    <w:p w:rsidR="00000000" w:rsidDel="00000000" w:rsidP="00000000" w:rsidRDefault="00000000" w:rsidRPr="00000000" w14:paraId="00000008">
      <w:pPr>
        <w:numPr>
          <w:ilvl w:val="0"/>
          <w:numId w:val="2"/>
        </w:numPr>
        <w:spacing w:line="259" w:lineRule="auto"/>
        <w:ind w:left="1080" w:hanging="360"/>
        <w:rPr>
          <w:sz w:val="24"/>
          <w:szCs w:val="24"/>
        </w:rPr>
      </w:pPr>
      <w:r w:rsidDel="00000000" w:rsidR="00000000" w:rsidRPr="00000000">
        <w:rPr>
          <w:rFonts w:ascii="Calibri" w:cs="Calibri" w:eastAsia="Calibri" w:hAnsi="Calibri"/>
          <w:sz w:val="24"/>
          <w:szCs w:val="24"/>
          <w:rtl w:val="0"/>
        </w:rPr>
        <w:t xml:space="preserve">Collaborate with and serve as a resource for the Faculty Professional Development Committee and the college-wide Professional Development Coordinators in order to assit in assessing and projecting professional development needs and offerings. </w:t>
      </w:r>
      <w:r w:rsidDel="00000000" w:rsidR="00000000" w:rsidRPr="00000000">
        <w:rPr>
          <w:rtl w:val="0"/>
        </w:rPr>
      </w:r>
    </w:p>
    <w:p w:rsidR="00000000" w:rsidDel="00000000" w:rsidP="00000000" w:rsidRDefault="00000000" w:rsidRPr="00000000" w14:paraId="00000009">
      <w:pPr>
        <w:numPr>
          <w:ilvl w:val="0"/>
          <w:numId w:val="2"/>
        </w:numPr>
        <w:spacing w:line="240" w:lineRule="auto"/>
        <w:ind w:left="1080" w:hanging="360"/>
        <w:rPr>
          <w:color w:val="222222"/>
          <w:sz w:val="24"/>
          <w:szCs w:val="24"/>
        </w:rPr>
      </w:pPr>
      <w:r w:rsidDel="00000000" w:rsidR="00000000" w:rsidRPr="00000000">
        <w:rPr>
          <w:rFonts w:ascii="Calibri" w:cs="Calibri" w:eastAsia="Calibri" w:hAnsi="Calibri"/>
          <w:color w:val="222222"/>
          <w:sz w:val="24"/>
          <w:szCs w:val="24"/>
          <w:rtl w:val="0"/>
        </w:rPr>
        <w:t xml:space="preserve">Consult with appropriate college staff and administration on the content and structures for student support in online instruction.</w:t>
      </w:r>
      <w:r w:rsidDel="00000000" w:rsidR="00000000" w:rsidRPr="00000000">
        <w:rPr>
          <w:rtl w:val="0"/>
        </w:rPr>
      </w:r>
    </w:p>
    <w:p w:rsidR="00000000" w:rsidDel="00000000" w:rsidP="00000000" w:rsidRDefault="00000000" w:rsidRPr="00000000" w14:paraId="0000000A">
      <w:pPr>
        <w:numPr>
          <w:ilvl w:val="0"/>
          <w:numId w:val="2"/>
        </w:numPr>
        <w:spacing w:line="240" w:lineRule="auto"/>
        <w:ind w:left="1080" w:hanging="360"/>
        <w:rPr>
          <w:color w:val="222222"/>
          <w:sz w:val="24"/>
          <w:szCs w:val="24"/>
        </w:rPr>
      </w:pPr>
      <w:r w:rsidDel="00000000" w:rsidR="00000000" w:rsidRPr="00000000">
        <w:rPr>
          <w:rFonts w:ascii="Calibri" w:cs="Calibri" w:eastAsia="Calibri" w:hAnsi="Calibri"/>
          <w:color w:val="222222"/>
          <w:sz w:val="24"/>
          <w:szCs w:val="24"/>
          <w:rtl w:val="0"/>
        </w:rPr>
        <w:t xml:space="preserve">Serve as primary body for the review of potential new technologies related to online teaching and learning.</w:t>
      </w:r>
      <w:r w:rsidDel="00000000" w:rsidR="00000000" w:rsidRPr="00000000">
        <w:rPr>
          <w:rtl w:val="0"/>
        </w:rPr>
      </w:r>
    </w:p>
    <w:p w:rsidR="00000000" w:rsidDel="00000000" w:rsidP="00000000" w:rsidRDefault="00000000" w:rsidRPr="00000000" w14:paraId="0000000B">
      <w:pPr>
        <w:numPr>
          <w:ilvl w:val="0"/>
          <w:numId w:val="4"/>
        </w:numPr>
        <w:spacing w:line="259" w:lineRule="auto"/>
        <w:ind w:left="1080" w:hanging="360"/>
        <w:rPr>
          <w:sz w:val="24"/>
          <w:szCs w:val="24"/>
        </w:rPr>
      </w:pPr>
      <w:r w:rsidDel="00000000" w:rsidR="00000000" w:rsidRPr="00000000">
        <w:rPr>
          <w:rFonts w:ascii="Calibri" w:cs="Calibri" w:eastAsia="Calibri" w:hAnsi="Calibri"/>
          <w:sz w:val="24"/>
          <w:szCs w:val="24"/>
          <w:rtl w:val="0"/>
        </w:rPr>
        <w:t xml:space="preserve">Maintain ongoing relationships with local, regional, state, and national institutions/organinizations regarding online teaching and learning.</w:t>
      </w:r>
      <w:r w:rsidDel="00000000" w:rsidR="00000000" w:rsidRPr="00000000">
        <w:rPr>
          <w:rtl w:val="0"/>
        </w:rPr>
      </w:r>
    </w:p>
    <w:p w:rsidR="00000000" w:rsidDel="00000000" w:rsidP="00000000" w:rsidRDefault="00000000" w:rsidRPr="00000000" w14:paraId="0000000C">
      <w:pPr>
        <w:numPr>
          <w:ilvl w:val="0"/>
          <w:numId w:val="4"/>
        </w:numPr>
        <w:spacing w:line="259" w:lineRule="auto"/>
        <w:ind w:left="1080" w:hanging="360"/>
        <w:rPr>
          <w:sz w:val="24"/>
          <w:szCs w:val="24"/>
        </w:rPr>
      </w:pPr>
      <w:r w:rsidDel="00000000" w:rsidR="00000000" w:rsidRPr="00000000">
        <w:rPr>
          <w:rFonts w:ascii="Calibri" w:cs="Calibri" w:eastAsia="Calibri" w:hAnsi="Calibri"/>
          <w:sz w:val="24"/>
          <w:szCs w:val="24"/>
          <w:rtl w:val="0"/>
        </w:rPr>
        <w:t xml:space="preserve">Coordinate with and serve as a resource for the Curriculum Committee on policies and procedures related to online teaching and learning.</w:t>
      </w:r>
      <w:r w:rsidDel="00000000" w:rsidR="00000000" w:rsidRPr="00000000">
        <w:rPr>
          <w:rtl w:val="0"/>
        </w:rPr>
      </w:r>
    </w:p>
    <w:p w:rsidR="00000000" w:rsidDel="00000000" w:rsidP="00000000" w:rsidRDefault="00000000" w:rsidRPr="00000000" w14:paraId="0000000D">
      <w:pPr>
        <w:numPr>
          <w:ilvl w:val="0"/>
          <w:numId w:val="4"/>
        </w:numPr>
        <w:spacing w:line="259" w:lineRule="auto"/>
        <w:ind w:left="1080" w:hanging="360"/>
        <w:rPr>
          <w:sz w:val="24"/>
          <w:szCs w:val="24"/>
        </w:rPr>
      </w:pPr>
      <w:r w:rsidDel="00000000" w:rsidR="00000000" w:rsidRPr="00000000">
        <w:rPr>
          <w:rFonts w:ascii="Calibri" w:cs="Calibri" w:eastAsia="Calibri" w:hAnsi="Calibri"/>
          <w:sz w:val="24"/>
          <w:szCs w:val="24"/>
          <w:rtl w:val="0"/>
        </w:rPr>
        <w:t xml:space="preserve">Coordinate and serve as a resource for the Academic Program Review Committee on matters related to online teaching and learning.</w:t>
      </w:r>
    </w:p>
    <w:p w:rsidR="00000000" w:rsidDel="00000000" w:rsidP="00000000" w:rsidRDefault="00000000" w:rsidRPr="00000000" w14:paraId="0000000E">
      <w:pPr>
        <w:numPr>
          <w:ilvl w:val="0"/>
          <w:numId w:val="4"/>
        </w:numPr>
        <w:spacing w:line="259" w:lineRule="auto"/>
        <w:ind w:left="1080" w:hanging="360"/>
        <w:rPr>
          <w:sz w:val="24"/>
          <w:szCs w:val="24"/>
        </w:rPr>
      </w:pPr>
      <w:r w:rsidDel="00000000" w:rsidR="00000000" w:rsidRPr="00000000">
        <w:rPr>
          <w:rFonts w:ascii="Calibri" w:cs="Calibri" w:eastAsia="Calibri" w:hAnsi="Calibri"/>
          <w:color w:val="222222"/>
          <w:sz w:val="24"/>
          <w:szCs w:val="24"/>
          <w:rtl w:val="0"/>
        </w:rPr>
        <w:t xml:space="preserve">Continually work to help ensure that online teaching a learning materials meet and (where possible) exceed standards of accessibility.</w:t>
      </w:r>
      <w:r w:rsidDel="00000000" w:rsidR="00000000" w:rsidRPr="00000000">
        <w:rPr>
          <w:rtl w:val="0"/>
        </w:rPr>
      </w:r>
    </w:p>
    <w:p w:rsidR="00000000" w:rsidDel="00000000" w:rsidP="00000000" w:rsidRDefault="00000000" w:rsidRPr="00000000" w14:paraId="0000000F">
      <w:pPr>
        <w:numPr>
          <w:ilvl w:val="0"/>
          <w:numId w:val="4"/>
        </w:numPr>
        <w:spacing w:line="259" w:lineRule="auto"/>
        <w:ind w:left="1080" w:hanging="360"/>
        <w:rPr>
          <w:color w:val="222222"/>
          <w:sz w:val="24"/>
          <w:szCs w:val="24"/>
        </w:rPr>
      </w:pPr>
      <w:r w:rsidDel="00000000" w:rsidR="00000000" w:rsidRPr="00000000">
        <w:rPr>
          <w:rFonts w:ascii="Calibri" w:cs="Calibri" w:eastAsia="Calibri" w:hAnsi="Calibri"/>
          <w:color w:val="222222"/>
          <w:sz w:val="24"/>
          <w:szCs w:val="24"/>
          <w:rtl w:val="0"/>
        </w:rPr>
        <w:t xml:space="preserve">Provide updates to the Academic Senate at least once each primary term.</w:t>
      </w:r>
    </w:p>
    <w:p w:rsidR="00000000" w:rsidDel="00000000" w:rsidP="00000000" w:rsidRDefault="00000000" w:rsidRPr="00000000" w14:paraId="00000010">
      <w:pPr>
        <w:spacing w:line="259" w:lineRule="auto"/>
        <w:ind w:left="720" w:firstLine="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1">
      <w:pPr>
        <w:pStyle w:val="Heading3"/>
        <w:spacing w:after="0" w:before="40" w:line="240" w:lineRule="auto"/>
        <w:rPr>
          <w:rFonts w:ascii="Times New Roman" w:cs="Times New Roman" w:eastAsia="Times New Roman" w:hAnsi="Times New Roman"/>
          <w:b w:val="1"/>
          <w:color w:val="2f5496"/>
        </w:rPr>
      </w:pPr>
      <w:bookmarkStart w:colFirst="0" w:colLast="0" w:name="_1fob9te" w:id="2"/>
      <w:bookmarkEnd w:id="2"/>
      <w:r w:rsidDel="00000000" w:rsidR="00000000" w:rsidRPr="00000000">
        <w:rPr>
          <w:rFonts w:ascii="Calibri" w:cs="Calibri" w:eastAsia="Calibri" w:hAnsi="Calibri"/>
          <w:b w:val="1"/>
          <w:color w:val="2f5496"/>
          <w:rtl w:val="0"/>
        </w:rPr>
        <w:t xml:space="preserve">Membership</w:t>
      </w:r>
      <w:r w:rsidDel="00000000" w:rsidR="00000000" w:rsidRPr="00000000">
        <w:rPr>
          <w:rtl w:val="0"/>
        </w:rPr>
      </w:r>
    </w:p>
    <w:p w:rsidR="00000000" w:rsidDel="00000000" w:rsidP="00000000" w:rsidRDefault="00000000" w:rsidRPr="00000000" w14:paraId="00000012">
      <w:pPr>
        <w:spacing w:line="240" w:lineRule="auto"/>
        <w:ind w:left="360"/>
        <w:rPr>
          <w:rFonts w:ascii=" Arial" w:cs=" Arial" w:eastAsia=" Arial" w:hAnsi=" Arial"/>
          <w:color w:val="222222"/>
          <w:sz w:val="24"/>
          <w:szCs w:val="24"/>
        </w:rPr>
      </w:pPr>
      <w:r w:rsidDel="00000000" w:rsidR="00000000" w:rsidRPr="00000000">
        <w:rPr>
          <w:rFonts w:ascii="Calibri" w:cs="Calibri" w:eastAsia="Calibri" w:hAnsi="Calibri"/>
          <w:b w:val="1"/>
          <w:color w:val="222222"/>
          <w:sz w:val="24"/>
          <w:szCs w:val="24"/>
          <w:rtl w:val="0"/>
        </w:rPr>
        <w:t xml:space="preserve">Chair: </w:t>
      </w:r>
      <w:r w:rsidDel="00000000" w:rsidR="00000000" w:rsidRPr="00000000">
        <w:rPr>
          <w:rFonts w:ascii="Calibri" w:cs="Calibri" w:eastAsia="Calibri" w:hAnsi="Calibri"/>
          <w:color w:val="222222"/>
          <w:sz w:val="24"/>
          <w:szCs w:val="24"/>
          <w:rtl w:val="0"/>
        </w:rPr>
        <w:t xml:space="preserve">          </w:t>
      </w:r>
      <w:r w:rsidDel="00000000" w:rsidR="00000000" w:rsidRPr="00000000">
        <w:rPr>
          <w:rtl w:val="0"/>
        </w:rPr>
      </w:r>
    </w:p>
    <w:p w:rsidR="00000000" w:rsidDel="00000000" w:rsidP="00000000" w:rsidRDefault="00000000" w:rsidRPr="00000000" w14:paraId="00000013">
      <w:pPr>
        <w:spacing w:line="240" w:lineRule="auto"/>
        <w:rPr>
          <w:rFonts w:ascii=" Arial" w:cs=" Arial" w:eastAsia=" Arial" w:hAnsi=" Arial"/>
          <w:color w:val="222222"/>
          <w:sz w:val="24"/>
          <w:szCs w:val="24"/>
        </w:rPr>
      </w:pPr>
      <w:r w:rsidDel="00000000" w:rsidR="00000000" w:rsidRPr="00000000">
        <w:rPr>
          <w:rFonts w:ascii="Calibri" w:cs="Calibri" w:eastAsia="Calibri" w:hAnsi="Calibri"/>
          <w:color w:val="222222"/>
          <w:sz w:val="24"/>
          <w:szCs w:val="24"/>
          <w:rtl w:val="0"/>
        </w:rPr>
        <w:t xml:space="preserve">Faculty Distance Education Coordinator(s)</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General Members:</w:t>
      </w:r>
      <w:r w:rsidDel="00000000" w:rsidR="00000000" w:rsidRPr="00000000">
        <w:rPr>
          <w:rFonts w:ascii="Calibri" w:cs="Calibri" w:eastAsia="Calibri" w:hAnsi="Calibri"/>
          <w:color w:val="222222"/>
          <w:sz w:val="24"/>
          <w:szCs w:val="24"/>
          <w:rtl w:val="0"/>
        </w:rPr>
        <w:tab/>
      </w:r>
    </w:p>
    <w:p w:rsidR="00000000" w:rsidDel="00000000" w:rsidP="00000000" w:rsidRDefault="00000000" w:rsidRPr="00000000" w14:paraId="00000015">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One member from each of the following:</w:t>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Career Technical Education/Workforce Development</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Arts, Languages and Humanities</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English, Social and Behavioral Sciences</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Mathematics, Natural Sciences, Exercise Science and Wellness</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Learning and Technology Resources (Librarian)</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Counceling</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Accessibility Resource Center</w:t>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Part-Time Faculty </w:t>
      </w:r>
    </w:p>
    <w:p w:rsidR="00000000" w:rsidDel="00000000" w:rsidP="00000000" w:rsidRDefault="00000000" w:rsidRPr="00000000" w14:paraId="0000001E">
      <w:pPr>
        <w:spacing w:line="240" w:lineRule="auto"/>
        <w:ind w:left="360"/>
        <w:rPr>
          <w:rFonts w:ascii=" Arial" w:cs=" Arial" w:eastAsia=" Arial" w:hAnsi=" Arial"/>
          <w:b w:val="1"/>
          <w:color w:val="222222"/>
          <w:sz w:val="24"/>
          <w:szCs w:val="24"/>
        </w:rPr>
      </w:pPr>
      <w:r w:rsidDel="00000000" w:rsidR="00000000" w:rsidRPr="00000000">
        <w:rPr>
          <w:rFonts w:ascii="Calibri" w:cs="Calibri" w:eastAsia="Calibri" w:hAnsi="Calibri"/>
          <w:b w:val="1"/>
          <w:color w:val="222222"/>
          <w:sz w:val="24"/>
          <w:szCs w:val="24"/>
          <w:rtl w:val="0"/>
        </w:rPr>
        <w:t xml:space="preserve">Ex-officio members</w:t>
      </w:r>
      <w:r w:rsidDel="00000000" w:rsidR="00000000" w:rsidRPr="00000000">
        <w:rPr>
          <w:rFonts w:ascii=" Arial" w:cs=" Arial" w:eastAsia=" Arial" w:hAnsi=" Arial"/>
          <w:b w:val="1"/>
          <w:color w:val="222222"/>
          <w:sz w:val="24"/>
          <w:szCs w:val="24"/>
          <w:rtl w:val="0"/>
        </w:rPr>
        <w:t xml:space="preserve">:</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Instructional Design Technology Specialist</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Dean, LTR</w:t>
      </w:r>
      <w:r w:rsidDel="00000000" w:rsidR="00000000" w:rsidRPr="00000000">
        <w:rPr>
          <w:rtl w:val="0"/>
        </w:rPr>
      </w:r>
    </w:p>
    <w:p w:rsidR="00000000" w:rsidDel="00000000" w:rsidP="00000000" w:rsidRDefault="00000000" w:rsidRPr="00000000" w14:paraId="00000021">
      <w:pPr>
        <w:spacing w:line="240" w:lineRule="auto"/>
        <w:ind w:left="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Advisory/Resource members: </w:t>
      </w:r>
    </w:p>
    <w:p w:rsidR="00000000" w:rsidDel="00000000" w:rsidP="00000000" w:rsidRDefault="00000000" w:rsidRPr="00000000" w14:paraId="00000022">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Vice President of Academic Affairs or designee</w:t>
      </w:r>
    </w:p>
    <w:p w:rsidR="00000000" w:rsidDel="00000000" w:rsidP="00000000" w:rsidRDefault="00000000" w:rsidRPr="00000000" w14:paraId="00000023">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Information Systems Personnel</w:t>
      </w:r>
      <w:r w:rsidDel="00000000" w:rsidR="00000000" w:rsidRPr="00000000">
        <w:rPr>
          <w:rtl w:val="0"/>
        </w:rPr>
      </w:r>
    </w:p>
    <w:p w:rsidR="00000000" w:rsidDel="00000000" w:rsidP="00000000" w:rsidRDefault="00000000" w:rsidRPr="00000000" w14:paraId="00000024">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Technology Support Personnel</w:t>
      </w:r>
    </w:p>
    <w:p w:rsidR="00000000" w:rsidDel="00000000" w:rsidP="00000000" w:rsidRDefault="00000000" w:rsidRPr="00000000" w14:paraId="00000025">
      <w:pPr>
        <w:numPr>
          <w:ilvl w:val="0"/>
          <w:numId w:val="5"/>
        </w:numPr>
        <w:spacing w:line="240" w:lineRule="auto"/>
        <w:ind w:left="72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26">
      <w:pPr>
        <w:pStyle w:val="Heading3"/>
        <w:spacing w:after="0" w:before="40" w:line="240" w:lineRule="auto"/>
        <w:rPr>
          <w:rFonts w:ascii="Times New Roman" w:cs="Times New Roman" w:eastAsia="Times New Roman" w:hAnsi="Times New Roman"/>
          <w:b w:val="1"/>
          <w:color w:val="2f5496"/>
        </w:rPr>
      </w:pPr>
      <w:bookmarkStart w:colFirst="0" w:colLast="0" w:name="_2et92p0" w:id="3"/>
      <w:bookmarkEnd w:id="3"/>
      <w:r w:rsidDel="00000000" w:rsidR="00000000" w:rsidRPr="00000000">
        <w:rPr>
          <w:rFonts w:ascii="Calibri" w:cs="Calibri" w:eastAsia="Calibri" w:hAnsi="Calibri"/>
          <w:b w:val="1"/>
          <w:color w:val="2f5496"/>
          <w:rtl w:val="0"/>
        </w:rPr>
        <w:t xml:space="preserve">Meeting Dates</w:t>
      </w:r>
      <w:r w:rsidDel="00000000" w:rsidR="00000000" w:rsidRPr="00000000">
        <w:rPr>
          <w:rtl w:val="0"/>
        </w:rPr>
      </w:r>
    </w:p>
    <w:p w:rsidR="00000000" w:rsidDel="00000000" w:rsidP="00000000" w:rsidRDefault="00000000" w:rsidRPr="00000000" w14:paraId="00000027">
      <w:pPr>
        <w:spacing w:line="240" w:lineRule="auto"/>
        <w:rPr>
          <w:rFonts w:ascii=" Arial" w:cs=" Arial" w:eastAsia=" Arial" w:hAnsi=" Arial"/>
          <w:color w:val="222222"/>
          <w:sz w:val="24"/>
          <w:szCs w:val="24"/>
        </w:rPr>
      </w:pPr>
      <w:r w:rsidDel="00000000" w:rsidR="00000000" w:rsidRPr="00000000">
        <w:rPr>
          <w:rFonts w:ascii=" Arial" w:cs=" Arial" w:eastAsia=" Arial" w:hAnsi=" Arial"/>
          <w:b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Second and Fourth Wednesday, 10:00-11:00 a.m.</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 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