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contextualSpacing w:val="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rtl w:val="0"/>
        </w:rPr>
        <w:t xml:space="preserve"> </w:t>
      </w:r>
      <w:r w:rsidDel="00000000" w:rsidR="00000000" w:rsidRPr="00000000">
        <w:rPr>
          <w:rtl w:val="0"/>
        </w:rPr>
      </w:r>
    </w:p>
    <w:tbl>
      <w:tblPr>
        <w:tblStyle w:val="Table1"/>
        <w:tblW w:w="9918.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58"/>
        <w:gridCol w:w="450"/>
        <w:gridCol w:w="4230"/>
        <w:gridCol w:w="180"/>
        <w:gridCol w:w="4500"/>
        <w:tblGridChange w:id="0">
          <w:tblGrid>
            <w:gridCol w:w="558"/>
            <w:gridCol w:w="450"/>
            <w:gridCol w:w="4230"/>
            <w:gridCol w:w="180"/>
            <w:gridCol w:w="4500"/>
          </w:tblGrid>
        </w:tblGridChange>
      </w:tblGrid>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1">
            <w:pPr>
              <w:contextualSpacing w:val="0"/>
              <w:jc w:val="center"/>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sz w:val="24"/>
                <w:szCs w:val="24"/>
                <w:rtl w:val="0"/>
              </w:rPr>
              <w:t xml:space="preserve">I.</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TO ORDER</w:t>
              <w:tab/>
              <w:tab/>
              <w:tab/>
              <w:tab/>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4">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6">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8">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PUBLIC COMMENT – Each speaker will be given a maximum of 4 minutes to address the senate about a non-agendized item or items, with a maximum of 15 minutes allowed for public comment. The senate may vote to extend public comment at any meeting. Please contact the senate secretary before the meeting when wishing to speak at public comment. The senate welcomes all speakers to participate in the discussion on agendized items.</w:t>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B">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AGENDA</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0F">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0">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2"/>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APPROVAL OF THE MINUTES FROM: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4/16/2018</w:t>
            </w:r>
          </w:p>
        </w:tc>
      </w:tr>
      <w:tr>
        <w:trPr>
          <w:trHeight w:val="18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5">
            <w:pP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A">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B">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PRESIDENTS REPORT</w:t>
            </w:r>
          </w:p>
        </w:tc>
      </w:tr>
      <w:tr>
        <w:trPr>
          <w:trHeight w:val="2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1F">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0">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5">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6">
            <w:pPr>
              <w:contextualSpacing w:val="0"/>
              <w:rPr>
                <w:rFonts w:ascii="Times New Roman" w:cs="Times New Roman" w:eastAsia="Times New Roman" w:hAnsi="Times New Roman"/>
                <w:sz w:val="24"/>
                <w:szCs w:val="24"/>
              </w:rPr>
            </w:pPr>
            <w:r w:rsidDel="00000000" w:rsidR="00000000" w:rsidRPr="00000000">
              <w:rPr>
                <w:rtl w:val="0"/>
              </w:rPr>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9">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B">
            <w:pPr>
              <w:contextualSpacing w:val="0"/>
              <w:rPr>
                <w:rFonts w:ascii="Times New Roman" w:cs="Times New Roman" w:eastAsia="Times New Roman" w:hAnsi="Times New Roman"/>
                <w:sz w:val="24"/>
                <w:szCs w:val="24"/>
              </w:rPr>
            </w:pPr>
            <w:r w:rsidDel="00000000" w:rsidR="00000000" w:rsidRPr="00000000">
              <w:rPr>
                <w:rtl w:val="0"/>
              </w:rPr>
            </w:r>
          </w:p>
        </w:tc>
      </w:tr>
      <w:tr>
        <w:trPr>
          <w:trHeight w:val="12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E">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3">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III.</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4">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COMMITTEES</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8">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9">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A">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trHeight w:val="28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D">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E">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3F">
            <w:pPr>
              <w:contextualSpacing w:val="0"/>
              <w:rPr>
                <w:rFonts w:ascii="Times New Roman" w:cs="Times New Roman" w:eastAsia="Times New Roman" w:hAnsi="Times New Roman"/>
                <w:sz w:val="24"/>
                <w:szCs w:val="24"/>
              </w:rPr>
            </w:pPr>
            <w:r w:rsidDel="00000000" w:rsidR="00000000" w:rsidRPr="00000000">
              <w:rPr>
                <w:rtl w:val="0"/>
              </w:rPr>
            </w:r>
          </w:p>
        </w:tc>
      </w:tr>
      <w:tr>
        <w:trPr>
          <w:trHeight w:val="2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2">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4">
            <w:pPr>
              <w:contextualSpacing w:val="0"/>
              <w:rPr>
                <w:rFonts w:ascii="Times New Roman" w:cs="Times New Roman" w:eastAsia="Times New Roman" w:hAnsi="Times New Roman"/>
                <w:sz w:val="24"/>
                <w:szCs w:val="24"/>
              </w:rPr>
            </w:pPr>
            <w:r w:rsidDel="00000000" w:rsidR="00000000" w:rsidRPr="00000000">
              <w:rPr>
                <w:rtl w:val="0"/>
              </w:rPr>
            </w:r>
          </w:p>
        </w:tc>
      </w:tr>
      <w:tr>
        <w:trPr>
          <w:trHeight w:val="14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7">
            <w:pPr>
              <w:contextualSpacing w:val="0"/>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IV.</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4D">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ACTION ITEMS</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1">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2">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3">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6">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7">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8">
            <w:pPr>
              <w:contextualSpacing w:val="0"/>
              <w:rPr>
                <w:rFonts w:ascii="Times New Roman" w:cs="Times New Roman" w:eastAsia="Times New Roman" w:hAnsi="Times New Roman"/>
                <w:sz w:val="24"/>
                <w:szCs w:val="24"/>
              </w:rPr>
            </w:pPr>
            <w:r w:rsidDel="00000000" w:rsidR="00000000" w:rsidRPr="00000000">
              <w:rPr>
                <w:rtl w:val="0"/>
              </w:rPr>
            </w:r>
          </w:p>
        </w:tc>
      </w:tr>
      <w:tr>
        <w:trPr>
          <w:trHeight w:val="1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B">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5D">
            <w:pPr>
              <w:contextualSpacing w:val="0"/>
              <w:rPr>
                <w:rFonts w:ascii="Times New Roman" w:cs="Times New Roman" w:eastAsia="Times New Roman" w:hAnsi="Times New Roman"/>
                <w:sz w:val="24"/>
                <w:szCs w:val="24"/>
              </w:rPr>
            </w:pPr>
            <w:r w:rsidDel="00000000" w:rsidR="00000000" w:rsidRPr="00000000">
              <w:rPr>
                <w:rtl w:val="0"/>
              </w:rPr>
            </w:r>
          </w:p>
        </w:tc>
      </w:tr>
      <w:tr>
        <w:trPr>
          <w:trHeight w:val="140" w:hRule="atLeast"/>
        </w:trPr>
        <w:tc>
          <w:tcPr>
            <w:gridSpan w:val="5"/>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0">
            <w:pPr>
              <w:contextualSpacing w:val="0"/>
              <w:jc w:val="center"/>
              <w:rPr>
                <w:rFonts w:ascii="Times New Roman" w:cs="Times New Roman" w:eastAsia="Times New Roman" w:hAnsi="Times New Roman"/>
                <w:sz w:val="24"/>
                <w:szCs w:val="24"/>
              </w:rPr>
            </w:pPr>
            <w:r w:rsidDel="00000000" w:rsidR="00000000" w:rsidRPr="00000000">
              <w:rPr>
                <w:rtl w:val="0"/>
              </w:rPr>
            </w:r>
          </w:p>
        </w:tc>
      </w:tr>
      <w:tr>
        <w:trPr>
          <w:trHeight w:val="4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5">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w:t>
            </w:r>
          </w:p>
        </w:tc>
        <w:tc>
          <w:tcPr>
            <w:gridSpan w:val="4"/>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6">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INFORMATIONAL ITEMS</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A">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B">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C">
            <w:pPr>
              <w:contextualSpacing w:val="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Roles and Responsibilities of Academic Senate (Virginia May/Rebecca Eikey)</w:t>
            </w:r>
          </w:p>
        </w:tc>
      </w:tr>
      <w:tr>
        <w:trPr>
          <w:trHeight w:val="2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6F">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0">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1">
            <w:pPr>
              <w:contextualSpacing w:val="0"/>
              <w:rPr>
                <w:rFonts w:ascii="Times New Roman" w:cs="Times New Roman" w:eastAsia="Times New Roman" w:hAnsi="Times New Roman"/>
                <w:sz w:val="24"/>
                <w:szCs w:val="24"/>
              </w:rPr>
            </w:pPr>
            <w:r w:rsidDel="00000000" w:rsidR="00000000" w:rsidRPr="00000000">
              <w:rPr>
                <w:rtl w:val="0"/>
              </w:rPr>
            </w:r>
          </w:p>
        </w:tc>
      </w:tr>
      <w:tr>
        <w:trPr>
          <w:trHeight w:val="2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4">
            <w:pPr>
              <w:contextualSpacing w:val="0"/>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5">
            <w:pPr>
              <w:contextualSpacing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w:t>
            </w:r>
          </w:p>
        </w:tc>
        <w:tc>
          <w:tcPr>
            <w:gridSpan w:val="3"/>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76">
            <w:pPr>
              <w:contextualSpacing w:val="0"/>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contextualSpacing w:val="0"/>
        <w:rPr>
          <w:rFonts w:ascii="Times New Roman" w:cs="Times New Roman" w:eastAsia="Times New Roman" w:hAnsi="Times New Roman"/>
          <w:sz w:val="24"/>
          <w:szCs w:val="24"/>
        </w:rPr>
      </w:pPr>
      <w:r w:rsidDel="00000000" w:rsidR="00000000" w:rsidRPr="00000000">
        <w:rPr>
          <w:rtl w:val="0"/>
        </w:rPr>
      </w:r>
    </w:p>
    <w:sectPr>
      <w:headerReference r:id="rId6" w:type="default"/>
      <w:footerReference r:id="rId7" w:type="default"/>
      <w:pgSz w:h="15840" w:w="12240"/>
      <w:pgMar w:bottom="1440" w:top="1905"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F">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*The Academic Senate may move information items to action upon a 2/3 vote.</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{Section 5. Quorum“A simple majority of Senators including Senator designees recognized by the Chair at the openings of meetings shall constitute a quorum. Senator positions not filled by departments will not be includ</w:t>
    </w:r>
  </w:p>
  <w:p w:rsidR="00000000" w:rsidDel="00000000" w:rsidP="00000000" w:rsidRDefault="00000000" w:rsidRPr="00000000" w14:paraId="00000082">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quorum determination.” Average number of senators attending the first three Senate meetings, Fall, 2011: 54}</w:t>
    </w:r>
  </w:p>
  <w:p w:rsidR="00000000" w:rsidDel="00000000" w:rsidP="00000000" w:rsidRDefault="00000000" w:rsidRPr="00000000" w14:paraId="00000083">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84">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12"/>
        <w:szCs w:val="1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12"/>
        <w:szCs w:val="12"/>
        <w:u w:val="none"/>
        <w:shd w:fill="auto" w:val="clear"/>
        <w:vertAlign w:val="baseline"/>
        <w:rtl w:val="0"/>
      </w:rPr>
      <w:t xml:space="preserve">01.22.18Jkv</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A">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br w:type="textWrapping"/>
      <w:br w:type="textWrapp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margin">
            <wp:posOffset>2324100</wp:posOffset>
          </wp:positionH>
          <wp:positionV relativeFrom="paragraph">
            <wp:posOffset>-219074</wp:posOffset>
          </wp:positionV>
          <wp:extent cx="1029084" cy="685800"/>
          <wp:effectExtent b="0" l="0" r="0" t="0"/>
          <wp:wrapSquare wrapText="bothSides" distB="0" distT="0" distL="0" distR="0"/>
          <wp:docPr id="1"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029084" cy="685800"/>
                  </a:xfrm>
                  <a:prstGeom prst="rect"/>
                  <a:ln/>
                </pic:spPr>
              </pic:pic>
            </a:graphicData>
          </a:graphic>
        </wp:anchor>
      </w:drawing>
    </w:r>
  </w:p>
  <w:p w:rsidR="00000000" w:rsidDel="00000000" w:rsidP="00000000" w:rsidRDefault="00000000" w:rsidRPr="00000000" w14:paraId="0000007B">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Grossmont College</w:t>
    </w:r>
    <w:r w:rsidDel="00000000" w:rsidR="00000000" w:rsidRPr="00000000">
      <w:rPr>
        <w:rtl w:val="0"/>
      </w:rPr>
    </w:r>
  </w:p>
  <w:p w:rsidR="00000000" w:rsidDel="00000000" w:rsidP="00000000" w:rsidRDefault="00000000" w:rsidRPr="00000000" w14:paraId="0000007D">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Academic Senate Meeting</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contextualSpacing w:val="0"/>
      <w:jc w:val="center"/>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rtl w:val="0"/>
      </w:rPr>
      <w:t xml:space="preserve">Monday</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rtl w:val="0"/>
      </w:rPr>
      <w:t xml:space="preserve">April 30</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2018</w:t>
      <w:br w:type="textWrapping"/>
    </w:r>
    <w:r w:rsidDel="00000000" w:rsidR="00000000" w:rsidRPr="00000000">
      <w:rPr>
        <w:rFonts w:ascii="Times New Roman" w:cs="Times New Roman" w:eastAsia="Times New Roman" w:hAnsi="Times New Roman"/>
        <w:b w:val="1"/>
        <w:sz w:val="24"/>
        <w:szCs w:val="24"/>
        <w:rtl w:val="0"/>
      </w:rPr>
      <w:t xml:space="preserve">Agenda</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br w:type="textWrapp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