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1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8"/>
        <w:gridCol w:w="450"/>
        <w:gridCol w:w="4230"/>
        <w:gridCol w:w="180"/>
        <w:gridCol w:w="4500"/>
        <w:tblGridChange w:id="0">
          <w:tblGrid>
            <w:gridCol w:w="558"/>
            <w:gridCol w:w="450"/>
            <w:gridCol w:w="4230"/>
            <w:gridCol w:w="180"/>
            <w:gridCol w:w="4500"/>
          </w:tblGrid>
        </w:tblGridChange>
      </w:tblGrid>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TO ORDER</w:t>
              <w:tab/>
              <w:tab/>
              <w:tab/>
              <w:tab/>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 COMMENT – Each speaker will be given a maximum of 4 minutes to address the senate about a non-agendized item or items, with a maximum of 15 minutes allowed for public comment. The senate may vote to extend public comment at any meeting. Please contact the senate secretary before the meeting when wishing to speak at public comment. The senate welcomes all speakers to participate in the discussion on agendized items.</w:t>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AGENDA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THE MINUTES FROM: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December 04, 2017            5 min.</w:t>
            </w:r>
          </w:p>
        </w:tc>
      </w:tr>
      <w:tr>
        <w:trPr>
          <w:trHeight w:val="18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PRESIDENTS REPORT</w:t>
            </w:r>
          </w:p>
        </w:tc>
      </w:tr>
      <w:tr>
        <w:trPr>
          <w:trHeight w:val="2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Upcoming Events                                                                                           5 min.</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IEPI update                                                                                                   10 min.</w:t>
            </w:r>
          </w:p>
        </w:tc>
      </w:tr>
      <w:tr>
        <w:trPr>
          <w:trHeight w:val="2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Construction Information                                                                             10 min.</w:t>
            </w:r>
          </w:p>
        </w:tc>
      </w:tr>
      <w:tr>
        <w:trPr>
          <w:trHeight w:val="12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COMMITTEES</w:t>
            </w:r>
          </w:p>
        </w:tc>
      </w:tr>
      <w:tr>
        <w:trPr>
          <w:trHeight w:val="2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Review  (Nate Scharff , Bonnie Ripley)                                        15 min.</w:t>
            </w:r>
          </w:p>
        </w:tc>
      </w:tr>
      <w:tr>
        <w:trPr>
          <w:trHeight w:val="2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Accreditation                                                                                                15 min.</w:t>
            </w:r>
          </w:p>
        </w:tc>
      </w:tr>
      <w:tr>
        <w:trPr>
          <w:trHeight w:val="2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tc>
      </w:tr>
      <w:tr>
        <w:trPr>
          <w:trHeight w:val="14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ACTION ITEMS</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 Ed materials (Janet Gelb)                                                              15 min.</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tc>
      </w:tr>
      <w:tr>
        <w:trPr>
          <w:trHeight w:val="1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tc>
      </w:tr>
      <w:tr>
        <w:trPr>
          <w:trHeight w:val="14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 ITEMS</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tc>
      </w:tr>
      <w:tr>
        <w:trPr>
          <w:trHeight w:val="2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tc>
      </w:tr>
      <w:tr>
        <w:trPr>
          <w:trHeight w:val="2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Academic Senate may move information items to action upon a 2/3 vote.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{Section 5. Quorum“A simple majority of Senators including Senator designees recognized by the Chair at the openings of meetings shall constitute a quorum. Senator positions not filled by departments will not be includ</w:t>
    </w:r>
    <w:r w:rsidDel="00000000" w:rsidR="00000000" w:rsidRPr="00000000">
      <w:rPr>
        <w:rFonts w:ascii="Times New Roman" w:cs="Times New Roman" w:eastAsia="Times New Roman" w:hAnsi="Times New Roman"/>
        <w:sz w:val="16"/>
        <w:szCs w:val="16"/>
        <w:rtl w:val="0"/>
      </w:rPr>
      <w:t xml:space="preserve">ed in</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quorum determination.” Average number of senators attending the first three Senate meetings, Fall, 201</w:t>
    </w:r>
    <w:r w:rsidDel="00000000" w:rsidR="00000000" w:rsidRPr="00000000">
      <w:rPr>
        <w:rFonts w:ascii="Times New Roman" w:cs="Times New Roman" w:eastAsia="Times New Roman" w:hAnsi="Times New Roman"/>
        <w:sz w:val="16"/>
        <w:szCs w:val="16"/>
        <w:rtl w:val="0"/>
      </w:rPr>
      <w:t xml:space="preserve">6</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sz w:val="16"/>
        <w:szCs w:val="16"/>
        <w:rtl w:val="0"/>
      </w:rPr>
      <w:t xml:space="preserve">49</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r>
    <w:r w:rsidDel="00000000" w:rsidR="00000000" w:rsidRPr="00000000">
      <w:drawing>
        <wp:anchor allowOverlap="1" behindDoc="0" distB="0" distT="0" distL="0" distR="0" hidden="0" layoutInCell="1" locked="0" relativeHeight="0" simplePos="0">
          <wp:simplePos x="0" y="0"/>
          <wp:positionH relativeFrom="margin">
            <wp:posOffset>2476500</wp:posOffset>
          </wp:positionH>
          <wp:positionV relativeFrom="paragraph">
            <wp:posOffset>-104774</wp:posOffset>
          </wp:positionV>
          <wp:extent cx="850900" cy="567055"/>
          <wp:effectExtent b="0" l="0" r="0" t="0"/>
          <wp:wrapSquare wrapText="bothSides" distB="0" distT="0" distL="0" distR="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850900" cy="567055"/>
                  </a:xfrm>
                  <a:prstGeom prst="rect"/>
                  <a:ln/>
                </pic:spPr>
              </pic:pic>
            </a:graphicData>
          </a:graphic>
        </wp:anchor>
      </w:drawing>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Grossmont College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Academic Senate Meeting</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Monday, February </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2018</w:t>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AGENDA</w:t>
      <w:br w:type="textWrapp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